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89C59">
      <w:pPr>
        <w:pStyle w:val="25"/>
        <w:framePr w:wrap="around"/>
        <w:spacing w:line="360" w:lineRule="auto"/>
        <w:ind w:firstLine="0" w:firstLineChars="0"/>
        <w:rPr>
          <w:rFonts w:hint="default" w:ascii="黑体" w:hAnsi="黑体" w:eastAsia="黑体" w:cs="黑体"/>
          <w:color w:val="auto"/>
          <w:highlight w:val="none"/>
          <w:lang w:val="en-US" w:eastAsia="zh-CN"/>
        </w:rPr>
      </w:pPr>
      <w:bookmarkStart w:id="123" w:name="_GoBack"/>
      <w:bookmarkEnd w:id="123"/>
      <w:r>
        <w:rPr>
          <w:rFonts w:hint="eastAsia" w:hAnsi="黑体" w:cs="黑体"/>
          <w:color w:val="auto"/>
          <w:highlight w:val="none"/>
          <w:lang w:val="en-US" w:eastAsia="zh-CN"/>
        </w:rPr>
        <w:t>I</w:t>
      </w:r>
      <w:r>
        <w:rPr>
          <w:rFonts w:hint="eastAsia" w:ascii="黑体" w:hAnsi="黑体" w:eastAsia="黑体" w:cs="黑体"/>
          <w:color w:val="auto"/>
          <w:highlight w:val="none"/>
        </w:rPr>
        <w:t>CS</w:t>
      </w:r>
      <w:r>
        <w:rPr>
          <w:rFonts w:hint="eastAsia" w:hAnsi="黑体" w:cs="黑体"/>
          <w:color w:val="auto"/>
          <w:highlight w:val="none"/>
          <w:lang w:val="en-US" w:eastAsia="zh-CN"/>
        </w:rPr>
        <w:t xml:space="preserve"> 35.240.50</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4BAFE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854" w:type="dxa"/>
            <w:tcBorders>
              <w:top w:val="nil"/>
              <w:left w:val="nil"/>
              <w:bottom w:val="nil"/>
              <w:right w:val="nil"/>
            </w:tcBorders>
            <w:noWrap w:val="0"/>
            <w:vAlign w:val="top"/>
          </w:tcPr>
          <w:p w14:paraId="7C4F1D73">
            <w:pPr>
              <w:pStyle w:val="25"/>
              <w:framePr w:wrap="around"/>
              <w:spacing w:line="360" w:lineRule="auto"/>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CCS</w:t>
            </w:r>
            <w:r>
              <w:rPr>
                <w:rFonts w:hint="eastAsia" w:hAnsi="黑体" w:cs="黑体"/>
                <w:color w:val="auto"/>
                <w:highlight w:val="none"/>
                <w:lang w:val="en-US" w:eastAsia="zh-CN"/>
              </w:rPr>
              <w:t xml:space="preserve"> </w:t>
            </w:r>
            <w:r>
              <w:rPr>
                <w:rFonts w:hint="eastAsia" w:hAnsi="黑体" w:cs="黑体"/>
                <w:color w:val="auto"/>
                <w:highlight w:val="none"/>
              </w:rPr>
              <w:t>L7</w:t>
            </w:r>
            <w:r>
              <w:rPr>
                <w:rFonts w:hint="eastAsia" w:hAnsi="黑体" w:cs="黑体"/>
                <w:color w:val="auto"/>
                <w:highlight w:val="none"/>
                <w:lang w:val="en-US" w:eastAsia="zh-CN"/>
              </w:rPr>
              <w:t>0</w:t>
            </w:r>
          </w:p>
        </w:tc>
      </w:tr>
    </w:tbl>
    <w:p w14:paraId="054E0B6A">
      <w:pPr>
        <w:pStyle w:val="23"/>
        <w:framePr w:wrap="around"/>
        <w:shd w:val="clear" w:color="FFFFFF" w:fill="FFFFFF"/>
        <w:spacing w:line="360" w:lineRule="auto"/>
        <w:rPr>
          <w:color w:val="auto"/>
          <w:highlight w:val="none"/>
        </w:rPr>
      </w:pPr>
      <w:r>
        <w:drawing>
          <wp:inline distT="0" distB="0" distL="114300" distR="114300">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8"/>
                    <a:stretch>
                      <a:fillRect/>
                    </a:stretch>
                  </pic:blipFill>
                  <pic:spPr>
                    <a:xfrm>
                      <a:off x="0" y="0"/>
                      <a:ext cx="796290" cy="397510"/>
                    </a:xfrm>
                    <a:prstGeom prst="rect">
                      <a:avLst/>
                    </a:prstGeom>
                    <a:noFill/>
                    <a:ln>
                      <a:noFill/>
                    </a:ln>
                  </pic:spPr>
                </pic:pic>
              </a:graphicData>
            </a:graphic>
          </wp:inline>
        </w:drawing>
      </w:r>
      <w:r>
        <w:rPr>
          <w:rFonts w:hint="default" w:ascii="Times New Roman" w:hAnsi="Times New Roman" w:cs="Times New Roman"/>
          <w:color w:val="auto"/>
          <w:highlight w:val="none"/>
        </w:rPr>
        <w:t>21</w:t>
      </w:r>
    </w:p>
    <w:p w14:paraId="44700D9F">
      <w:pPr>
        <w:pStyle w:val="22"/>
        <w:framePr w:wrap="around"/>
        <w:spacing w:line="360" w:lineRule="auto"/>
        <w:rPr>
          <w:color w:val="auto"/>
          <w:highlight w:val="none"/>
        </w:rPr>
      </w:pPr>
      <w:r>
        <w:rPr>
          <w:rFonts w:hint="eastAsia"/>
          <w:color w:val="auto"/>
          <w:highlight w:val="none"/>
        </w:rPr>
        <w:t>辽宁省地方标准</w:t>
      </w:r>
    </w:p>
    <w:p w14:paraId="21503C40">
      <w:pPr>
        <w:pStyle w:val="26"/>
        <w:framePr w:wrap="around" w:x="1677" w:y="3060"/>
        <w:spacing w:line="360" w:lineRule="auto"/>
        <w:rPr>
          <w:rFonts w:hint="eastAsia" w:ascii="黑体" w:hAnsi="黑体" w:eastAsia="黑体" w:cs="黑体"/>
          <w:color w:val="auto"/>
          <w:highlight w:val="none"/>
        </w:rPr>
      </w:pPr>
      <w:r>
        <w:rPr>
          <w:rFonts w:hint="eastAsia" w:ascii="黑体" w:hAnsi="黑体" w:eastAsia="黑体" w:cs="黑体"/>
          <w:color w:val="auto"/>
          <w:highlight w:val="none"/>
        </w:rPr>
        <w:t>DB21/TXXXX—XXXX</w:t>
      </w:r>
    </w:p>
    <w:p w14:paraId="52E34169">
      <w:pPr>
        <w:pStyle w:val="26"/>
        <w:framePr w:wrap="around" w:x="1677" w:y="3060"/>
        <w:spacing w:line="360" w:lineRule="auto"/>
        <w:rPr>
          <w:rFonts w:hint="eastAsia" w:ascii="黑体" w:hAnsi="黑体" w:eastAsia="黑体" w:cs="黑体"/>
          <w:color w:val="auto"/>
          <w:highlight w:val="non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1A2F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08BFB60E">
            <w:pPr>
              <w:pStyle w:val="27"/>
              <w:framePr w:wrap="around" w:x="1677" w:y="3060"/>
              <w:spacing w:line="360" w:lineRule="auto"/>
              <w:rPr>
                <w:color w:val="auto"/>
                <w:highlight w:val="none"/>
              </w:rPr>
            </w:pPr>
          </w:p>
        </w:tc>
      </w:tr>
    </w:tbl>
    <w:p w14:paraId="262CF340">
      <w:pPr>
        <w:pStyle w:val="26"/>
        <w:framePr w:wrap="around" w:x="1677" w:y="3060"/>
        <w:spacing w:line="360" w:lineRule="auto"/>
        <w:rPr>
          <w:color w:val="auto"/>
          <w:highlight w:val="none"/>
        </w:rPr>
      </w:pPr>
    </w:p>
    <w:p w14:paraId="3491BF6B">
      <w:pPr>
        <w:pStyle w:val="26"/>
        <w:framePr w:wrap="around" w:x="1677" w:y="3060"/>
        <w:spacing w:line="360" w:lineRule="auto"/>
        <w:rPr>
          <w:color w:val="auto"/>
          <w:highlight w:val="none"/>
        </w:rPr>
      </w:pPr>
    </w:p>
    <w:p w14:paraId="619AE18D">
      <w:pPr>
        <w:pStyle w:val="28"/>
        <w:framePr w:wrap="around" w:x="1390" w:y="6437"/>
        <w:spacing w:line="360" w:lineRule="auto"/>
        <w:rPr>
          <w:rFonts w:hint="default" w:eastAsia="黑体"/>
          <w:color w:val="auto"/>
          <w:szCs w:val="22"/>
          <w:highlight w:val="none"/>
          <w:lang w:val="en-US" w:eastAsia="zh-CN"/>
        </w:rPr>
      </w:pPr>
      <w:r>
        <w:rPr>
          <w:rFonts w:hint="eastAsia"/>
          <w:color w:val="auto"/>
          <w:szCs w:val="22"/>
          <w:highlight w:val="none"/>
          <w:lang w:val="en-US" w:eastAsia="zh-CN"/>
        </w:rPr>
        <w:t>工业数据流通  数据质量管理规范</w:t>
      </w:r>
    </w:p>
    <w:p w14:paraId="5C77AE7E">
      <w:pPr>
        <w:pStyle w:val="30"/>
        <w:framePr w:wrap="around" w:x="1390" w:y="6437"/>
        <w:spacing w:line="360" w:lineRule="auto"/>
        <w:rPr>
          <w:color w:val="auto"/>
          <w:highlight w:val="none"/>
        </w:rPr>
      </w:pPr>
      <w:r>
        <w:rPr>
          <w:rFonts w:hint="eastAsia"/>
          <w:color w:val="auto"/>
          <w:highlight w:val="none"/>
          <w:lang w:val="en-US" w:eastAsia="zh-CN"/>
        </w:rPr>
        <w:t>（征求意见稿）</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04D22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7BEF88B3">
            <w:pPr>
              <w:pStyle w:val="30"/>
              <w:framePr w:wrap="around" w:x="1390" w:y="6437"/>
              <w:spacing w:line="360" w:lineRule="auto"/>
              <w:rPr>
                <w:color w:val="auto"/>
                <w:highlight w:val="none"/>
              </w:rPr>
            </w:pPr>
          </w:p>
        </w:tc>
      </w:tr>
      <w:tr w14:paraId="061E1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7BF1459B">
            <w:pPr>
              <w:pStyle w:val="32"/>
              <w:framePr w:wrap="around" w:x="1390" w:y="6437"/>
              <w:spacing w:line="360" w:lineRule="auto"/>
              <w:rPr>
                <w:color w:val="auto"/>
                <w:highlight w:val="none"/>
              </w:rPr>
            </w:pPr>
          </w:p>
        </w:tc>
      </w:tr>
    </w:tbl>
    <w:p w14:paraId="06E2E4EE">
      <w:pPr>
        <w:pStyle w:val="33"/>
        <w:framePr w:wrap="around" w:vAnchor="page" w:hAnchor="page" w:x="1279" w:y="14052"/>
        <w:tabs>
          <w:tab w:val="center" w:pos="1998"/>
        </w:tabs>
        <w:spacing w:line="360" w:lineRule="auto"/>
        <w:rPr>
          <w:color w:val="auto"/>
          <w:highlight w:val="none"/>
        </w:rPr>
      </w:pPr>
      <w:r>
        <w:rPr>
          <w:rFonts w:hint="eastAsia" w:ascii="黑体" w:hAnsi="黑体" w:cs="黑体"/>
          <w:color w:val="auto"/>
          <w:highlight w:val="none"/>
        </w:rPr>
        <w:t>XXXX-XX-XX</w:t>
      </w:r>
      <w:r>
        <w:rPr>
          <w:rFonts w:hint="eastAsia"/>
          <w:color w:val="auto"/>
          <w:highlight w:val="none"/>
        </w:rPr>
        <w:t>发布</w:t>
      </w:r>
      <w:r>
        <w:rPr>
          <w:color w:val="auto"/>
          <w:highlight w:val="none"/>
        </w:rPr>
        <mc:AlternateContent>
          <mc:Choice Requires="wps">
            <w:drawing>
              <wp:anchor distT="0" distB="0" distL="114300" distR="114300" simplePos="0" relativeHeight="251661312" behindDoc="0" locked="1" layoutInCell="1" allowOverlap="1">
                <wp:simplePos x="0" y="0"/>
                <wp:positionH relativeFrom="column">
                  <wp:posOffset>3810</wp:posOffset>
                </wp:positionH>
                <wp:positionV relativeFrom="page">
                  <wp:posOffset>-3421380</wp:posOffset>
                </wp:positionV>
                <wp:extent cx="6120130" cy="0"/>
                <wp:effectExtent l="0" t="4445" r="0" b="508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3pt;margin-top:-269.4pt;height:0pt;width:481.9pt;mso-position-vertical-relative:page;z-index:251661312;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c1J4dYAAAAKAQAADwAAAAAAAAABACAAAAAiAAAAZHJzL2Rvd25yZXYueG1sUEsBAhQAFAAA&#10;AAgAh07iQJLOpLTxAQAA6AMAAA4AAAAAAAAAAQAgAAAAJQEAAGRycy9lMm9Eb2MueG1sUEsFBgAA&#10;AAAGAAYAWQEAAIgFAAAAAA==&#10;">
                <v:fill on="f" focussize="0,0"/>
                <v:stroke color="#000000" joinstyle="round"/>
                <v:imagedata o:title=""/>
                <o:lock v:ext="edit" aspectratio="f"/>
                <w10:anchorlock/>
              </v:line>
            </w:pict>
          </mc:Fallback>
        </mc:AlternateContent>
      </w:r>
    </w:p>
    <w:p w14:paraId="1E4C5C4D">
      <w:pPr>
        <w:pStyle w:val="35"/>
        <w:framePr w:wrap="around" w:vAnchor="page" w:hAnchor="page" w:x="6820" w:y="14031"/>
        <w:spacing w:line="360" w:lineRule="auto"/>
        <w:rPr>
          <w:color w:val="auto"/>
          <w:highlight w:val="none"/>
        </w:rPr>
      </w:pPr>
      <w:r>
        <w:rPr>
          <w:rFonts w:hint="eastAsia" w:ascii="黑体" w:hAnsi="黑体" w:cs="黑体"/>
          <w:color w:val="auto"/>
          <w:highlight w:val="none"/>
        </w:rPr>
        <w:t>XXXX-XX-XX</w:t>
      </w:r>
      <w:r>
        <w:rPr>
          <w:rFonts w:hint="eastAsia"/>
          <w:color w:val="auto"/>
          <w:highlight w:val="none"/>
        </w:rPr>
        <w:t>实施</w:t>
      </w:r>
    </w:p>
    <w:p w14:paraId="2A439F0E">
      <w:pPr>
        <w:pStyle w:val="37"/>
        <w:framePr w:wrap="around"/>
        <w:spacing w:line="360" w:lineRule="auto"/>
        <w:rPr>
          <w:rFonts w:hAnsi="黑体" w:cs="黑体"/>
          <w:color w:val="auto"/>
          <w:highlight w:val="none"/>
        </w:rPr>
      </w:pPr>
      <w:r>
        <w:rPr>
          <w:rFonts w:hint="eastAsia" w:hAnsi="黑体" w:cs="黑体"/>
          <w:color w:val="auto"/>
          <w:w w:val="100"/>
          <w:highlight w:val="none"/>
        </w:rPr>
        <w:t>辽宁省</w:t>
      </w:r>
      <w:r>
        <w:rPr>
          <w:rFonts w:hint="eastAsia" w:hAnsi="黑体" w:cs="黑体"/>
          <w:color w:val="auto"/>
          <w:w w:val="100"/>
          <w:szCs w:val="22"/>
          <w:highlight w:val="none"/>
        </w:rPr>
        <w:t>市场监督管理局　发布</w:t>
      </w:r>
    </w:p>
    <w:p w14:paraId="40DC8742">
      <w:pPr>
        <w:sectPr>
          <w:headerReference r:id="rId3" w:type="default"/>
          <w:headerReference r:id="rId4" w:type="even"/>
          <w:pgSz w:w="11906" w:h="16838"/>
          <w:pgMar w:top="567" w:right="1134" w:bottom="1134" w:left="141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黑体" w:hAnsi="黑体" w:eastAsia="黑体" w:cs="黑体"/>
        </w:rPr>
        <mc:AlternateContent>
          <mc:Choice Requires="wps">
            <w:drawing>
              <wp:anchor distT="0" distB="0" distL="114300" distR="114300" simplePos="0" relativeHeight="251660288" behindDoc="0" locked="0" layoutInCell="1" allowOverlap="1">
                <wp:simplePos x="0" y="0"/>
                <wp:positionH relativeFrom="column">
                  <wp:posOffset>-88265</wp:posOffset>
                </wp:positionH>
                <wp:positionV relativeFrom="paragraph">
                  <wp:posOffset>8350885</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95pt;margin-top:657.55pt;height:0pt;width:481.9pt;z-index:251660288;mso-width-relative:page;mso-height-relative:page;" filled="f" stroked="t" coordsize="21600,21600" o:gfxdata="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Y2/PX1wAAAA0BAAAPAAAAAAAAAAEAIAAAACIAAABkcnMvZG93bnJldi54bWxQ&#10;SwECFAAUAAAACACHTuJA0VjKmfgBAADyAwAADgAAAAAAAAABACAAAAAmAQAAZHJzL2Uyb0RvYy54&#10;bWxQSwUGAAAAAAYABgBZAQAAkA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59264" behindDoc="0" locked="0" layoutInCell="1" allowOverlap="1">
                <wp:simplePos x="0" y="0"/>
                <wp:positionH relativeFrom="column">
                  <wp:posOffset>-62230</wp:posOffset>
                </wp:positionH>
                <wp:positionV relativeFrom="paragraph">
                  <wp:posOffset>1602105</wp:posOffset>
                </wp:positionV>
                <wp:extent cx="6062345" cy="6350"/>
                <wp:effectExtent l="0" t="4445" r="3175" b="12065"/>
                <wp:wrapNone/>
                <wp:docPr id="4" name="直接连接符 4"/>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4.9pt;margin-top:126.15pt;height:0.5pt;width:477.35pt;z-index:251659264;mso-width-relative:page;mso-height-relative:page;" filled="f" stroked="t" coordsize="21600,21600" o:gfxdata="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&#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gqXY02QAAAAoBAAAPAAAAAAAAAAEAIAAAACIAAABk&#10;cnMvZG93bnJldi54bWxQSwECFAAUAAAACACHTuJAfnn3rQUCAAD/AwAADgAAAAAAAAABACAAAAAo&#10;AQAAZHJzL2Uyb0RvYy54bWxQSwUGAAAAAAYABgBZAQAAnwUAAAAA&#10;">
                <v:fill on="f" focussize="0,0"/>
                <v:stroke color="#000000" joinstyle="round"/>
                <v:imagedata o:title=""/>
                <o:lock v:ext="edit" aspectratio="f"/>
              </v:line>
            </w:pict>
          </mc:Fallback>
        </mc:AlternateContent>
      </w:r>
    </w:p>
    <w:p w14:paraId="6A80E5E7">
      <w:pPr>
        <w:pStyle w:val="48"/>
        <w:keepNext w:val="0"/>
        <w:keepLines w:val="0"/>
        <w:pageBreakBefore w:val="0"/>
        <w:widowControl w:val="0"/>
        <w:kinsoku/>
        <w:wordWrap/>
        <w:overflowPunct/>
        <w:topLinePunct w:val="0"/>
        <w:autoSpaceDE/>
        <w:autoSpaceDN/>
        <w:bidi w:val="0"/>
        <w:adjustRightInd/>
        <w:snapToGrid/>
        <w:spacing w:before="469" w:beforeLines="150" w:after="468"/>
        <w:textAlignment w:val="auto"/>
      </w:pPr>
      <w:r>
        <w:rPr>
          <w:rFonts w:hint="eastAsia"/>
          <w:spacing w:val="320"/>
        </w:rPr>
        <w:t>目</w:t>
      </w:r>
      <w:r>
        <w:rPr>
          <w:rFonts w:hint="eastAsia"/>
        </w:rPr>
        <w:t>次</w:t>
      </w:r>
    </w:p>
    <w:p w14:paraId="167F1EAF">
      <w:pPr>
        <w:pStyle w:val="12"/>
        <w:keepNext w:val="0"/>
        <w:keepLines w:val="0"/>
        <w:pageBreakBefore w:val="0"/>
        <w:widowControl w:val="0"/>
        <w:tabs>
          <w:tab w:val="right" w:leader="dot" w:pos="8306"/>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kern w:val="2"/>
          <w:sz w:val="21"/>
          <w:szCs w:val="21"/>
          <w:lang w:val="en-US" w:eastAsia="zh-CN" w:bidi="ar-SA"/>
        </w:rPr>
        <w:fldChar w:fldCharType="begin"/>
      </w:r>
      <w:r>
        <w:rPr>
          <w:rFonts w:hint="eastAsia" w:ascii="宋体" w:hAnsi="宋体" w:eastAsia="宋体" w:cs="宋体"/>
          <w:kern w:val="2"/>
          <w:sz w:val="21"/>
          <w:szCs w:val="21"/>
          <w:lang w:val="en-US" w:eastAsia="zh-CN" w:bidi="ar-SA"/>
        </w:rPr>
        <w:instrText xml:space="preserve"> HYPERLINK \l _Toc17705 </w:instrText>
      </w:r>
      <w:r>
        <w:rPr>
          <w:rFonts w:hint="eastAsia" w:ascii="宋体" w:hAnsi="宋体" w:eastAsia="宋体" w:cs="宋体"/>
          <w:kern w:val="2"/>
          <w:sz w:val="21"/>
          <w:szCs w:val="21"/>
          <w:lang w:val="en-US" w:eastAsia="zh-CN" w:bidi="ar-SA"/>
        </w:rPr>
        <w:fldChar w:fldCharType="separate"/>
      </w:r>
      <w:r>
        <w:rPr>
          <w:rFonts w:hint="eastAsia" w:ascii="宋体" w:hAnsi="宋体" w:eastAsia="宋体" w:cs="宋体"/>
          <w:kern w:val="2"/>
          <w:sz w:val="21"/>
          <w:szCs w:val="21"/>
          <w:lang w:val="en-US" w:eastAsia="zh-CN" w:bidi="ar-SA"/>
        </w:rPr>
        <w:t>前言..................................................................................</w:t>
      </w:r>
      <w:r>
        <w:rPr>
          <w:rFonts w:hint="eastAsia" w:ascii="宋体" w:hAnsi="宋体" w:eastAsia="宋体" w:cs="宋体"/>
          <w:kern w:val="2"/>
          <w:sz w:val="21"/>
          <w:szCs w:val="21"/>
          <w:lang w:val="en-US" w:eastAsia="zh-CN" w:bidi="ar-SA"/>
        </w:rPr>
        <w:fldChar w:fldCharType="end"/>
      </w:r>
      <w:r>
        <w:rPr>
          <w:rFonts w:hint="eastAsia" w:ascii="宋体" w:hAnsi="宋体" w:eastAsia="宋体" w:cs="宋体"/>
          <w:kern w:val="2"/>
          <w:sz w:val="21"/>
          <w:szCs w:val="21"/>
          <w:lang w:val="en-US" w:eastAsia="zh-CN" w:bidi="ar-SA"/>
        </w:rPr>
        <w:fldChar w:fldCharType="begin"/>
      </w:r>
      <w:r>
        <w:rPr>
          <w:rFonts w:hint="eastAsia" w:ascii="宋体" w:hAnsi="宋体" w:eastAsia="宋体" w:cs="宋体"/>
          <w:kern w:val="2"/>
          <w:sz w:val="21"/>
          <w:szCs w:val="21"/>
          <w:lang w:val="en-US" w:eastAsia="zh-CN" w:bidi="ar-SA"/>
        </w:rPr>
        <w:instrText xml:space="preserve"> = 3 \* ROMAN \* MERGEFORMAT </w:instrText>
      </w:r>
      <w:r>
        <w:rPr>
          <w:rFonts w:hint="eastAsia" w:ascii="宋体" w:hAnsi="宋体" w:eastAsia="宋体" w:cs="宋体"/>
          <w:kern w:val="2"/>
          <w:sz w:val="21"/>
          <w:szCs w:val="21"/>
          <w:lang w:val="en-US" w:eastAsia="zh-CN" w:bidi="ar-SA"/>
        </w:rPr>
        <w:fldChar w:fldCharType="separate"/>
      </w:r>
      <w:r>
        <w:rPr>
          <w:rFonts w:hint="eastAsia" w:ascii="宋体" w:hAnsi="宋体" w:eastAsia="宋体" w:cs="宋体"/>
        </w:rPr>
        <w:t>III</w:t>
      </w:r>
      <w:r>
        <w:rPr>
          <w:rFonts w:hint="eastAsia" w:ascii="宋体" w:hAnsi="宋体" w:eastAsia="宋体" w:cs="宋体"/>
          <w:kern w:val="2"/>
          <w:sz w:val="21"/>
          <w:szCs w:val="21"/>
          <w:lang w:val="en-US" w:eastAsia="zh-CN" w:bidi="ar-SA"/>
        </w:rPr>
        <w:fldChar w:fldCharType="end"/>
      </w:r>
    </w:p>
    <w:p w14:paraId="081B6DD5">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TOC \o "1-4" \h \u </w:instrText>
      </w:r>
      <w:r>
        <w:rPr>
          <w:rFonts w:hint="eastAsia" w:ascii="宋体" w:hAnsi="宋体" w:eastAsia="宋体" w:cs="宋体"/>
          <w:lang w:val="en-US" w:eastAsia="zh-CN"/>
        </w:rPr>
        <w:fldChar w:fldCharType="separate"/>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_Toc30832 </w:instrText>
      </w:r>
      <w:r>
        <w:rPr>
          <w:rFonts w:hint="eastAsia" w:ascii="宋体" w:hAnsi="宋体" w:eastAsia="宋体" w:cs="宋体"/>
          <w:lang w:val="en-US" w:eastAsia="zh-CN"/>
        </w:rPr>
        <w:fldChar w:fldCharType="separate"/>
      </w:r>
      <w:r>
        <w:rPr>
          <w:rFonts w:hint="eastAsia" w:ascii="宋体" w:hAnsi="宋体" w:eastAsia="宋体" w:cs="宋体"/>
          <w:i w:val="0"/>
          <w:szCs w:val="21"/>
        </w:rPr>
        <w:t xml:space="preserve">1 </w:t>
      </w:r>
      <w:r>
        <w:rPr>
          <w:rFonts w:hint="eastAsia" w:ascii="宋体" w:cs="宋体"/>
          <w:i w:val="0"/>
          <w:szCs w:val="21"/>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_Toc30832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92A492A">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_Toc32261 </w:instrText>
      </w:r>
      <w:r>
        <w:rPr>
          <w:rFonts w:hint="eastAsia" w:ascii="宋体" w:hAnsi="宋体" w:eastAsia="宋体" w:cs="宋体"/>
          <w:lang w:val="en-US" w:eastAsia="zh-CN"/>
        </w:rPr>
        <w:fldChar w:fldCharType="separate"/>
      </w:r>
      <w:r>
        <w:rPr>
          <w:rFonts w:hint="eastAsia" w:ascii="宋体" w:hAnsi="宋体" w:eastAsia="宋体" w:cs="宋体"/>
          <w:i w:val="0"/>
          <w:szCs w:val="21"/>
        </w:rPr>
        <w:t xml:space="preserve">2 </w:t>
      </w:r>
      <w:r>
        <w:rPr>
          <w:rFonts w:hint="eastAsia" w:ascii="宋体" w:cs="宋体"/>
          <w:i w:val="0"/>
          <w:szCs w:val="21"/>
          <w:lang w:val="en-US" w:eastAsia="zh-CN"/>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_Toc32261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5733DA4">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_Toc22045 </w:instrText>
      </w:r>
      <w:r>
        <w:rPr>
          <w:rFonts w:hint="eastAsia" w:ascii="宋体" w:hAnsi="宋体" w:eastAsia="宋体" w:cs="宋体"/>
          <w:lang w:val="en-US" w:eastAsia="zh-CN"/>
        </w:rPr>
        <w:fldChar w:fldCharType="separate"/>
      </w:r>
      <w:r>
        <w:rPr>
          <w:rFonts w:hint="eastAsia" w:ascii="宋体" w:hAnsi="宋体" w:eastAsia="宋体" w:cs="宋体"/>
          <w:i w:val="0"/>
          <w:szCs w:val="21"/>
        </w:rPr>
        <w:t xml:space="preserve">3 </w:t>
      </w:r>
      <w:r>
        <w:rPr>
          <w:rFonts w:hint="eastAsia" w:ascii="宋体" w:cs="宋体"/>
          <w:i w:val="0"/>
          <w:szCs w:val="21"/>
          <w:lang w:val="en-US" w:eastAsia="zh-CN"/>
        </w:rPr>
        <w:t xml:space="preserve">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_Toc22045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1CBEB3CF">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_Toc24018 </w:instrText>
      </w:r>
      <w:r>
        <w:rPr>
          <w:rFonts w:hint="eastAsia" w:ascii="宋体" w:hAnsi="宋体" w:eastAsia="宋体" w:cs="宋体"/>
          <w:lang w:val="en-US" w:eastAsia="zh-CN"/>
        </w:rPr>
        <w:fldChar w:fldCharType="separate"/>
      </w:r>
      <w:r>
        <w:rPr>
          <w:rFonts w:hint="eastAsia" w:ascii="宋体" w:hAnsi="宋体" w:eastAsia="宋体" w:cs="宋体"/>
          <w:i w:val="0"/>
          <w:szCs w:val="21"/>
        </w:rPr>
        <w:t xml:space="preserve">4 </w:t>
      </w:r>
      <w:r>
        <w:rPr>
          <w:rFonts w:hint="eastAsia" w:ascii="宋体" w:cs="宋体"/>
          <w:i w:val="0"/>
          <w:szCs w:val="21"/>
          <w:lang w:val="en-US" w:eastAsia="zh-CN"/>
        </w:rPr>
        <w:t xml:space="preserve"> </w:t>
      </w:r>
      <w:r>
        <w:rPr>
          <w:rFonts w:hint="eastAsia" w:ascii="宋体" w:hAnsi="宋体" w:eastAsia="宋体" w:cs="宋体"/>
          <w:lang w:val="en-US" w:eastAsia="zh-CN"/>
        </w:rPr>
        <w:t>总体要求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_Toc24018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ACFBACC">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_Toc18979 </w:instrText>
      </w:r>
      <w:r>
        <w:rPr>
          <w:rFonts w:hint="eastAsia" w:ascii="宋体" w:hAnsi="宋体" w:eastAsia="宋体" w:cs="宋体"/>
          <w:lang w:val="en-US" w:eastAsia="zh-CN"/>
        </w:rPr>
        <w:fldChar w:fldCharType="separate"/>
      </w:r>
      <w:r>
        <w:rPr>
          <w:rFonts w:hint="eastAsia" w:ascii="宋体" w:hAnsi="宋体" w:eastAsia="宋体" w:cs="宋体"/>
          <w:i w:val="0"/>
          <w:szCs w:val="21"/>
        </w:rPr>
        <w:t>5</w:t>
      </w:r>
      <w:r>
        <w:rPr>
          <w:rFonts w:hint="eastAsia" w:ascii="宋体" w:cs="宋体"/>
          <w:i w:val="0"/>
          <w:szCs w:val="21"/>
          <w:lang w:val="en-US" w:eastAsia="zh-CN"/>
        </w:rPr>
        <w:t xml:space="preserve"> </w:t>
      </w:r>
      <w:r>
        <w:rPr>
          <w:rFonts w:hint="eastAsia" w:ascii="宋体" w:hAnsi="宋体" w:eastAsia="宋体" w:cs="宋体"/>
          <w:i w:val="0"/>
          <w:szCs w:val="21"/>
        </w:rPr>
        <w:t xml:space="preserve"> </w:t>
      </w:r>
      <w:r>
        <w:rPr>
          <w:rFonts w:hint="eastAsia" w:ascii="宋体" w:hAnsi="宋体" w:eastAsia="宋体" w:cs="宋体"/>
          <w:lang w:val="en-US" w:eastAsia="zh-CN"/>
        </w:rPr>
        <w:t>职责要求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_Toc18979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45937EE">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_Toc27439 </w:instrText>
      </w:r>
      <w:r>
        <w:rPr>
          <w:rFonts w:hint="eastAsia" w:ascii="宋体" w:hAnsi="宋体" w:eastAsia="宋体" w:cs="宋体"/>
          <w:lang w:val="en-US" w:eastAsia="zh-CN"/>
        </w:rPr>
        <w:fldChar w:fldCharType="separate"/>
      </w:r>
      <w:r>
        <w:rPr>
          <w:rFonts w:hint="eastAsia" w:ascii="宋体" w:hAnsi="宋体" w:eastAsia="宋体" w:cs="宋体"/>
          <w:i w:val="0"/>
          <w:szCs w:val="21"/>
        </w:rPr>
        <w:t>6</w:t>
      </w:r>
      <w:r>
        <w:rPr>
          <w:rFonts w:hint="eastAsia" w:ascii="宋体" w:cs="宋体"/>
          <w:i w:val="0"/>
          <w:szCs w:val="21"/>
          <w:lang w:val="en-US" w:eastAsia="zh-CN"/>
        </w:rPr>
        <w:t xml:space="preserve">  </w:t>
      </w:r>
      <w:r>
        <w:rPr>
          <w:rFonts w:hint="eastAsia" w:ascii="宋体" w:hAnsi="宋体" w:eastAsia="宋体" w:cs="宋体"/>
          <w:lang w:val="en-US" w:eastAsia="zh-CN"/>
        </w:rPr>
        <w:t>数据质量管理指标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_Toc27439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F5B482A">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_Toc27332 </w:instrText>
      </w:r>
      <w:r>
        <w:rPr>
          <w:rFonts w:hint="eastAsia" w:ascii="宋体" w:hAnsi="宋体" w:eastAsia="宋体" w:cs="宋体"/>
          <w:lang w:val="en-US" w:eastAsia="zh-CN"/>
        </w:rPr>
        <w:fldChar w:fldCharType="separate"/>
      </w:r>
      <w:r>
        <w:rPr>
          <w:rFonts w:hint="eastAsia" w:ascii="宋体" w:hAnsi="宋体" w:eastAsia="宋体" w:cs="宋体"/>
          <w:i w:val="0"/>
          <w:szCs w:val="21"/>
          <w:lang w:val="en-US" w:eastAsia="zh-CN"/>
        </w:rPr>
        <w:t xml:space="preserve">7 </w:t>
      </w:r>
      <w:r>
        <w:rPr>
          <w:rFonts w:hint="eastAsia" w:ascii="宋体" w:cs="宋体"/>
          <w:i w:val="0"/>
          <w:szCs w:val="21"/>
          <w:lang w:val="en-US" w:eastAsia="zh-CN"/>
        </w:rPr>
        <w:t xml:space="preserve"> </w:t>
      </w:r>
      <w:r>
        <w:rPr>
          <w:rFonts w:hint="eastAsia" w:ascii="宋体" w:hAnsi="宋体" w:eastAsia="宋体" w:cs="宋体"/>
          <w:lang w:val="en-US" w:eastAsia="zh-CN"/>
        </w:rPr>
        <w:t>质量管理流程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_Toc27332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26E0077">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_Toc17869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7.1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概述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_Toc17869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182E687C">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_Toc24968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7.2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数据采集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_Toc24968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1B268CCA">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_Toc6468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7.3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数据审核</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_Toc6468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F4E3B3B">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_Toc23795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7.4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数据校验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_Toc23795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1096EB4B">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_Toc28208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7.5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数据更正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_Toc28208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C517BF1">
      <w:pPr>
        <w:pStyle w:val="12"/>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Lines="0" w:afterLines="0"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_Toc3791 </w:instrText>
      </w:r>
      <w:r>
        <w:rPr>
          <w:rFonts w:hint="eastAsia" w:ascii="宋体" w:hAnsi="宋体" w:eastAsia="宋体" w:cs="宋体"/>
          <w:lang w:val="en-US" w:eastAsia="zh-CN"/>
        </w:rPr>
        <w:fldChar w:fldCharType="separate"/>
      </w:r>
      <w:r>
        <w:rPr>
          <w:rFonts w:hint="eastAsia" w:ascii="宋体" w:hAnsi="宋体" w:eastAsia="宋体" w:cs="宋体"/>
          <w:i w:val="0"/>
          <w:szCs w:val="21"/>
          <w:lang w:val="en-US" w:eastAsia="zh-CN"/>
        </w:rPr>
        <w:t xml:space="preserve">8 </w:t>
      </w:r>
      <w:r>
        <w:rPr>
          <w:rFonts w:hint="eastAsia" w:ascii="宋体" w:cs="宋体"/>
          <w:i w:val="0"/>
          <w:szCs w:val="21"/>
          <w:lang w:val="en-US" w:eastAsia="zh-CN"/>
        </w:rPr>
        <w:t xml:space="preserve"> </w:t>
      </w:r>
      <w:r>
        <w:rPr>
          <w:rFonts w:hint="eastAsia" w:ascii="宋体" w:hAnsi="宋体" w:eastAsia="宋体" w:cs="宋体"/>
          <w:lang w:val="en-US" w:eastAsia="zh-CN"/>
        </w:rPr>
        <w:t>质量管理工具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_Toc3791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224494A4">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_Toc13406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8.1</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数据质量管理规则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_Toc13406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771E1EF">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_Toc24602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8.2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数据质量检测任务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_Toc24602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D66710E">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_Toc12187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8.3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数据质量监控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_Toc12187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28E5038C">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_Toc4394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8.4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数据质量报警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_Toc4394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7411214A">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_Toc25524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8.5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数据质量检测报告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_Toc25524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3F80890">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_Toc4132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8.6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数据质量检测报告</w:t>
      </w:r>
      <w:r>
        <w:rPr>
          <w:rFonts w:hint="eastAsia" w:cs="宋体"/>
          <w:lang w:val="en-US" w:eastAsia="zh-CN"/>
        </w:rPr>
        <w:t>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_Toc4132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06C877F">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_Toc16799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8.7 </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数据质量整改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_Toc16799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04A6FD46">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210" w:leftChars="10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_Toc24569 </w:instrText>
      </w:r>
      <w:r>
        <w:rPr>
          <w:rFonts w:hint="eastAsia" w:ascii="宋体" w:hAnsi="宋体" w:eastAsia="宋体" w:cs="宋体"/>
          <w:lang w:val="en-US" w:eastAsia="zh-CN"/>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8.8</w:t>
      </w:r>
      <w:r>
        <w:rPr>
          <w:rFonts w:hint="eastAsia"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 </w:t>
      </w:r>
      <w:r>
        <w:rPr>
          <w:rFonts w:hint="eastAsia" w:ascii="宋体" w:hAnsi="宋体" w:eastAsia="宋体" w:cs="宋体"/>
          <w:lang w:val="en-US" w:eastAsia="zh-CN"/>
        </w:rPr>
        <w:t>数据质量跟踪</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_Toc24569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173C53D0">
      <w:pPr>
        <w:pStyle w:val="7"/>
        <w:keepNext w:val="0"/>
        <w:keepLines w:val="0"/>
        <w:pageBreakBefore w:val="0"/>
        <w:widowControl w:val="0"/>
        <w:tabs>
          <w:tab w:val="right" w:leader="dot" w:pos="9355"/>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_Toc9975 </w:instrText>
      </w:r>
      <w:r>
        <w:rPr>
          <w:rFonts w:hint="eastAsia" w:ascii="宋体" w:hAnsi="宋体" w:eastAsia="宋体" w:cs="宋体"/>
          <w:lang w:val="en-US" w:eastAsia="zh-CN"/>
        </w:rPr>
        <w:fldChar w:fldCharType="separate"/>
      </w:r>
      <w:r>
        <w:rPr>
          <w:rFonts w:hint="eastAsia" w:ascii="宋体" w:hAnsi="宋体" w:eastAsia="宋体" w:cs="宋体"/>
          <w:lang w:val="en-US" w:eastAsia="zh-CN"/>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_Toc9975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29B9F45">
      <w:pPr>
        <w:keepNext w:val="0"/>
        <w:keepLines w:val="0"/>
        <w:pageBreakBefore w:val="0"/>
        <w:widowControl w:val="0"/>
        <w:kinsoku/>
        <w:wordWrap/>
        <w:overflowPunct/>
        <w:topLinePunct w:val="0"/>
        <w:autoSpaceDE/>
        <w:autoSpaceDN/>
        <w:bidi w:val="0"/>
        <w:adjustRightInd/>
        <w:snapToGrid/>
        <w:spacing w:line="300" w:lineRule="auto"/>
        <w:ind w:left="0" w:leftChars="0"/>
        <w:jc w:val="left"/>
        <w:textAlignment w:val="auto"/>
        <w:rPr>
          <w:rFonts w:hint="eastAsia" w:eastAsia="宋体"/>
          <w:lang w:val="en-US" w:eastAsia="zh-CN"/>
        </w:rPr>
        <w:sectPr>
          <w:headerReference r:id="rId5" w:type="default"/>
          <w:footerReference r:id="rId7" w:type="default"/>
          <w:headerReference r:id="rId6" w:type="even"/>
          <w:footerReference r:id="rId8" w:type="even"/>
          <w:pgSz w:w="11906" w:h="16838"/>
          <w:pgMar w:top="1417" w:right="1134" w:bottom="1134" w:left="1417"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r>
        <w:rPr>
          <w:rFonts w:hint="eastAsia" w:ascii="宋体" w:hAnsi="宋体" w:eastAsia="宋体" w:cs="宋体"/>
          <w:lang w:val="en-US" w:eastAsia="zh-CN"/>
        </w:rPr>
        <w:fldChar w:fldCharType="end"/>
      </w:r>
    </w:p>
    <w:p w14:paraId="577A60D6">
      <w:pPr>
        <w:pStyle w:val="12"/>
        <w:tabs>
          <w:tab w:val="right" w:leader="dot" w:pos="9355"/>
          <w:tab w:val="clear" w:pos="9242"/>
        </w:tabs>
        <w:jc w:val="center"/>
        <w:rPr>
          <w:rFonts w:hint="eastAsia" w:ascii="黑体" w:hAnsi="黑体" w:eastAsia="黑体" w:cs="黑体"/>
          <w:sz w:val="32"/>
          <w:szCs w:val="32"/>
        </w:rPr>
      </w:pPr>
      <w:r>
        <w:rPr>
          <w:rFonts w:hint="eastAsia" w:ascii="黑体" w:hAnsi="黑体" w:eastAsia="黑体" w:cs="黑体"/>
          <w:sz w:val="32"/>
          <w:szCs w:val="32"/>
        </w:rPr>
        <w:t>前</w:t>
      </w:r>
      <w:bookmarkStart w:id="0" w:name="BKQY"/>
      <w:r>
        <w:rPr>
          <w:rFonts w:hint="eastAsia" w:ascii="黑体" w:hAnsi="黑体" w:eastAsia="黑体" w:cs="黑体"/>
          <w:sz w:val="32"/>
          <w:szCs w:val="32"/>
        </w:rPr>
        <w:t>  言</w:t>
      </w:r>
      <w:bookmarkEnd w:id="0"/>
    </w:p>
    <w:p w14:paraId="3446482C">
      <w:pPr>
        <w:pStyle w:val="17"/>
        <w:rPr>
          <w:rFonts w:hint="eastAsia" w:ascii="宋体" w:hAnsi="宋体" w:eastAsia="宋体" w:cs="宋体"/>
        </w:rPr>
      </w:pPr>
      <w:r>
        <w:rPr>
          <w:rFonts w:hint="eastAsia" w:ascii="宋体" w:hAnsi="宋体" w:eastAsia="宋体" w:cs="宋体"/>
        </w:rPr>
        <w:t>本文件按照GB/T</w:t>
      </w:r>
      <w:r>
        <w:rPr>
          <w:rFonts w:hint="eastAsia" w:ascii="宋体" w:hAnsi="宋体" w:eastAsia="宋体" w:cs="宋体"/>
          <w:lang w:val="en-US" w:eastAsia="zh-CN"/>
        </w:rPr>
        <w:t xml:space="preserve"> 1.1</w:t>
      </w:r>
      <w:r>
        <w:rPr>
          <w:rFonts w:hint="eastAsia" w:ascii="宋体" w:hAnsi="宋体" w:eastAsia="宋体" w:cs="宋体"/>
        </w:rPr>
        <w:t>-2020《标准化工作导则 第1部分：标准化文件的结构和起草规则》的规</w:t>
      </w:r>
      <w:r>
        <w:rPr>
          <w:rFonts w:hint="eastAsia" w:ascii="宋体" w:hAnsi="宋体" w:eastAsia="宋体" w:cs="宋体"/>
          <w:lang w:val="en-US"/>
        </w:rPr>
        <w:t>定</w:t>
      </w:r>
      <w:r>
        <w:rPr>
          <w:rFonts w:hint="eastAsia" w:ascii="宋体" w:hAnsi="宋体" w:eastAsia="宋体" w:cs="宋体"/>
        </w:rPr>
        <w:t>起草。</w:t>
      </w:r>
    </w:p>
    <w:p w14:paraId="6E5299F9">
      <w:pPr>
        <w:pStyle w:val="17"/>
        <w:rPr>
          <w:rFonts w:hint="default" w:ascii="宋体" w:hAnsi="宋体" w:eastAsia="宋体" w:cs="宋体"/>
          <w:lang w:val="en-US" w:eastAsia="zh-CN"/>
        </w:rPr>
      </w:pPr>
      <w:r>
        <w:rPr>
          <w:rFonts w:hint="eastAsia" w:hAnsi="宋体" w:cs="宋体"/>
          <w:lang w:val="en-US" w:eastAsia="zh-CN"/>
        </w:rPr>
        <w:t>请注意本文件的某些内容可能涉及专利。本文件的发布机构不承担识别专利的责任。</w:t>
      </w:r>
    </w:p>
    <w:p w14:paraId="2C7FC53E">
      <w:pPr>
        <w:pStyle w:val="17"/>
        <w:rPr>
          <w:rFonts w:hint="eastAsia" w:ascii="宋体" w:hAnsi="宋体" w:eastAsia="宋体" w:cs="宋体"/>
        </w:rPr>
      </w:pPr>
      <w:r>
        <w:rPr>
          <w:rFonts w:hint="eastAsia" w:ascii="宋体" w:hAnsi="宋体" w:eastAsia="宋体" w:cs="宋体"/>
        </w:rPr>
        <w:t>本文件由</w:t>
      </w:r>
      <w:r>
        <w:rPr>
          <w:rFonts w:hint="eastAsia" w:hAnsi="宋体"/>
          <w:lang w:val="en-US" w:eastAsia="zh-CN"/>
        </w:rPr>
        <w:t>辽宁省工业和信息化厅</w:t>
      </w:r>
      <w:r>
        <w:rPr>
          <w:rFonts w:hint="eastAsia" w:ascii="宋体" w:hAnsi="宋体" w:eastAsia="宋体" w:cs="宋体"/>
        </w:rPr>
        <w:t>提出</w:t>
      </w:r>
      <w:r>
        <w:rPr>
          <w:rFonts w:hint="eastAsia" w:hAnsi="宋体" w:cs="宋体"/>
          <w:lang w:val="en-US" w:eastAsia="zh-CN"/>
        </w:rPr>
        <w:t>并归口</w:t>
      </w:r>
      <w:r>
        <w:rPr>
          <w:rFonts w:hint="eastAsia" w:ascii="宋体" w:hAnsi="宋体" w:eastAsia="宋体" w:cs="宋体"/>
        </w:rPr>
        <w:t>。</w:t>
      </w:r>
    </w:p>
    <w:p w14:paraId="2118A3BA">
      <w:pPr>
        <w:pStyle w:val="17"/>
        <w:rPr>
          <w:rFonts w:hint="eastAsia" w:hAnsi="宋体" w:cs="宋体"/>
          <w:lang w:val="en-US" w:eastAsia="zh-CN"/>
        </w:rPr>
      </w:pPr>
      <w:r>
        <w:rPr>
          <w:rFonts w:hint="eastAsia" w:ascii="宋体" w:hAnsi="宋体" w:eastAsia="宋体" w:cs="宋体"/>
        </w:rPr>
        <w:t>本文件起草单位</w:t>
      </w:r>
      <w:r>
        <w:rPr>
          <w:rFonts w:hint="eastAsia" w:hAnsi="宋体" w:cs="宋体"/>
          <w:lang w:eastAsia="zh-CN"/>
        </w:rPr>
        <w:t>：</w:t>
      </w:r>
      <w:r>
        <w:rPr>
          <w:rFonts w:hint="eastAsia" w:hAnsi="宋体" w:cs="宋体"/>
          <w:lang w:val="en-US" w:eastAsia="zh-CN"/>
        </w:rPr>
        <w:t>沈阳华睿博信息技术有限公司等。</w:t>
      </w:r>
    </w:p>
    <w:p w14:paraId="6D6CE24B">
      <w:pPr>
        <w:pStyle w:val="17"/>
        <w:rPr>
          <w:rFonts w:hint="eastAsia" w:ascii="宋体" w:hAnsi="宋体" w:eastAsia="宋体" w:cs="宋体"/>
          <w:lang w:val="en-US" w:eastAsia="zh-CN"/>
        </w:rPr>
      </w:pPr>
      <w:r>
        <w:rPr>
          <w:rFonts w:hint="eastAsia" w:ascii="宋体" w:hAnsi="宋体" w:eastAsia="宋体" w:cs="宋体"/>
        </w:rPr>
        <w:t>本文件主要起草人：</w:t>
      </w:r>
      <w:r>
        <w:rPr>
          <w:rFonts w:hint="eastAsia" w:hAnsi="宋体" w:cs="宋体"/>
        </w:rPr>
        <w:t>邵华</w:t>
      </w:r>
      <w:r>
        <w:rPr>
          <w:rFonts w:hint="eastAsia" w:hAnsi="宋体" w:cs="宋体"/>
          <w:lang w:val="en-US" w:eastAsia="zh-CN"/>
        </w:rPr>
        <w:t>等。</w:t>
      </w:r>
    </w:p>
    <w:p w14:paraId="58F0BC86">
      <w:pPr>
        <w:pStyle w:val="17"/>
        <w:rPr>
          <w:rFonts w:hint="eastAsia" w:ascii="宋体" w:hAnsi="宋体" w:eastAsia="宋体" w:cs="宋体"/>
        </w:rPr>
      </w:pPr>
      <w:r>
        <w:rPr>
          <w:rFonts w:hint="eastAsia" w:ascii="宋体" w:hAnsi="宋体" w:eastAsia="宋体" w:cs="宋体"/>
        </w:rPr>
        <w:t>本文件发布实施后，任何单位和个人如有问题和意见建议，均可以通过来电和来函等方式进行反馈，我们将及时答复并认真处理，根据实际情况依法进行评估及复审。</w:t>
      </w:r>
    </w:p>
    <w:p w14:paraId="5404B778">
      <w:pPr>
        <w:pStyle w:val="17"/>
        <w:rPr>
          <w:rFonts w:hint="eastAsia" w:ascii="宋体" w:hAnsi="宋体" w:eastAsia="宋体" w:cs="宋体"/>
        </w:rPr>
      </w:pPr>
      <w:r>
        <w:rPr>
          <w:rFonts w:hint="eastAsia" w:ascii="宋体" w:hAnsi="宋体" w:eastAsia="宋体" w:cs="宋体"/>
        </w:rPr>
        <w:t>归口管理部门通信地址：辽宁省沈阳市皇姑区北陵大街45-2号。</w:t>
      </w:r>
    </w:p>
    <w:p w14:paraId="1193F6DC">
      <w:pPr>
        <w:pStyle w:val="17"/>
        <w:rPr>
          <w:rFonts w:hint="eastAsia" w:ascii="宋体" w:hAnsi="宋体" w:eastAsia="宋体" w:cs="宋体"/>
          <w:lang w:val="en-US" w:eastAsia="zh-CN"/>
        </w:rPr>
      </w:pPr>
      <w:r>
        <w:rPr>
          <w:rFonts w:hint="eastAsia" w:ascii="宋体" w:hAnsi="宋体" w:eastAsia="宋体" w:cs="宋体"/>
        </w:rPr>
        <w:t>归口管理部门联系电话：024-</w:t>
      </w:r>
      <w:r>
        <w:rPr>
          <w:rFonts w:hint="eastAsia" w:hAnsi="宋体" w:cs="宋体"/>
          <w:lang w:val="en-US" w:eastAsia="zh-CN"/>
        </w:rPr>
        <w:t>86913384</w:t>
      </w:r>
      <w:r>
        <w:rPr>
          <w:rFonts w:hint="eastAsia" w:ascii="宋体" w:hAnsi="宋体" w:eastAsia="宋体" w:cs="宋体"/>
          <w:lang w:eastAsia="zh-CN"/>
        </w:rPr>
        <w:t>。</w:t>
      </w:r>
    </w:p>
    <w:p w14:paraId="781618BF">
      <w:pPr>
        <w:pStyle w:val="17"/>
        <w:rPr>
          <w:rFonts w:hint="eastAsia" w:ascii="宋体" w:hAnsi="宋体" w:eastAsia="宋体" w:cs="宋体"/>
        </w:rPr>
      </w:pPr>
      <w:r>
        <w:rPr>
          <w:rFonts w:hint="eastAsia" w:ascii="宋体" w:hAnsi="宋体" w:eastAsia="宋体" w:cs="宋体"/>
        </w:rPr>
        <w:t>标准起草单位通讯地址：</w:t>
      </w:r>
      <w:r>
        <w:rPr>
          <w:rFonts w:hint="eastAsia" w:hAnsi="宋体" w:cs="宋体"/>
        </w:rPr>
        <w:t>辽宁</w:t>
      </w:r>
      <w:r>
        <w:rPr>
          <w:rFonts w:hint="eastAsia" w:hAnsi="宋体" w:cs="宋体"/>
          <w:szCs w:val="22"/>
        </w:rPr>
        <w:t>省沈阳市和平区青年大街386号华阳国际大厦2396</w:t>
      </w:r>
      <w:r>
        <w:rPr>
          <w:rFonts w:hint="eastAsia" w:hAnsi="宋体" w:cs="宋体"/>
        </w:rPr>
        <w:t>。</w:t>
      </w:r>
    </w:p>
    <w:p w14:paraId="0770AD0A">
      <w:pPr>
        <w:pStyle w:val="17"/>
        <w:rPr>
          <w:szCs w:val="22"/>
        </w:rPr>
        <w:sectPr>
          <w:headerReference r:id="rId9" w:type="default"/>
          <w:footerReference r:id="rId11" w:type="default"/>
          <w:headerReference r:id="rId10" w:type="even"/>
          <w:footerReference r:id="rId12" w:type="even"/>
          <w:pgSz w:w="11906" w:h="16838"/>
          <w:pgMar w:top="1417" w:right="1134" w:bottom="1134" w:left="1417" w:header="1418" w:footer="1134" w:gutter="0"/>
          <w:pgBorders>
            <w:top w:val="none" w:sz="0" w:space="0"/>
            <w:left w:val="none" w:sz="0" w:space="0"/>
            <w:bottom w:val="none" w:sz="0" w:space="0"/>
            <w:right w:val="none" w:sz="0" w:space="0"/>
          </w:pgBorders>
          <w:pgNumType w:fmt="upperRoman" w:start="3"/>
          <w:cols w:space="720" w:num="1"/>
          <w:formProt w:val="0"/>
          <w:docGrid w:type="lines" w:linePitch="312" w:charSpace="0"/>
        </w:sectPr>
      </w:pPr>
      <w:r>
        <w:rPr>
          <w:rFonts w:hint="eastAsia" w:ascii="宋体" w:hAnsi="宋体" w:eastAsia="宋体" w:cs="宋体"/>
        </w:rPr>
        <w:t>标准起草单位联系电话：</w:t>
      </w:r>
      <w:r>
        <w:rPr>
          <w:rFonts w:hint="eastAsia" w:hAnsi="宋体" w:cs="宋体"/>
        </w:rPr>
        <w:t>18698849086。</w:t>
      </w:r>
    </w:p>
    <w:p w14:paraId="705FE187">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工业数据流通  数据质量管理规范</w:t>
      </w:r>
    </w:p>
    <w:p w14:paraId="39806362">
      <w:pPr>
        <w:pStyle w:val="16"/>
        <w:spacing w:before="312" w:after="312"/>
      </w:pPr>
      <w:bookmarkStart w:id="1" w:name="_Toc21437"/>
      <w:bookmarkStart w:id="2" w:name="_Toc28049"/>
      <w:bookmarkStart w:id="3" w:name="_Toc13382"/>
      <w:bookmarkStart w:id="4" w:name="_Toc12448"/>
      <w:bookmarkStart w:id="5" w:name="_Toc2662"/>
      <w:bookmarkStart w:id="6" w:name="_Toc15358"/>
      <w:bookmarkStart w:id="7" w:name="_Toc30235"/>
      <w:bookmarkStart w:id="8" w:name="_Toc1753"/>
      <w:bookmarkStart w:id="9" w:name="_Toc30899"/>
      <w:bookmarkStart w:id="10" w:name="_Toc13848"/>
      <w:bookmarkStart w:id="11" w:name="_Toc15340"/>
      <w:bookmarkStart w:id="12" w:name="_Toc23807"/>
      <w:bookmarkStart w:id="13" w:name="_Toc30832"/>
      <w:bookmarkStart w:id="14" w:name="_Toc14983"/>
      <w:r>
        <w:rPr>
          <w:rFonts w:hint="eastAsia"/>
        </w:rPr>
        <w:t>范围</w:t>
      </w:r>
      <w:bookmarkEnd w:id="1"/>
      <w:bookmarkEnd w:id="2"/>
      <w:bookmarkEnd w:id="3"/>
      <w:bookmarkEnd w:id="4"/>
      <w:bookmarkEnd w:id="5"/>
      <w:bookmarkEnd w:id="6"/>
      <w:bookmarkEnd w:id="7"/>
      <w:bookmarkEnd w:id="8"/>
      <w:bookmarkEnd w:id="9"/>
      <w:bookmarkEnd w:id="10"/>
      <w:bookmarkEnd w:id="11"/>
      <w:bookmarkEnd w:id="12"/>
      <w:bookmarkEnd w:id="13"/>
      <w:bookmarkEnd w:id="14"/>
    </w:p>
    <w:p w14:paraId="27DFAF93">
      <w:pPr>
        <w:pStyle w:val="17"/>
        <w:rPr>
          <w:rFonts w:hint="eastAsia"/>
          <w:szCs w:val="21"/>
          <w:highlight w:val="none"/>
          <w:lang w:val="en-US" w:eastAsia="zh-CN"/>
        </w:rPr>
      </w:pPr>
      <w:r>
        <w:rPr>
          <w:rFonts w:hint="eastAsia"/>
          <w:szCs w:val="21"/>
          <w:highlight w:val="none"/>
          <w:lang w:val="en-US" w:eastAsia="zh-CN"/>
        </w:rPr>
        <w:t>本文件给出了工业数据流通中数据质量的总体要求和职责要求，规定了数据质量管理指标、质量管理流程、质量管理工具等方面的要求。</w:t>
      </w:r>
    </w:p>
    <w:p w14:paraId="473E11A3">
      <w:pPr>
        <w:pStyle w:val="17"/>
        <w:rPr>
          <w:rFonts w:hint="default" w:eastAsia="宋体"/>
          <w:szCs w:val="21"/>
          <w:highlight w:val="none"/>
          <w:lang w:val="en-US" w:eastAsia="zh-CN"/>
        </w:rPr>
      </w:pPr>
      <w:r>
        <w:rPr>
          <w:rFonts w:hint="eastAsia"/>
          <w:szCs w:val="21"/>
          <w:highlight w:val="none"/>
          <w:lang w:val="en-US" w:eastAsia="zh-CN"/>
        </w:rPr>
        <w:t>本文件适用于工业数据流通过程中对工业数据进行质量管理的工作。</w:t>
      </w:r>
    </w:p>
    <w:p w14:paraId="2871E106">
      <w:pPr>
        <w:pStyle w:val="16"/>
        <w:spacing w:before="312" w:after="312"/>
      </w:pPr>
      <w:bookmarkStart w:id="15" w:name="_Toc5529"/>
      <w:bookmarkStart w:id="16" w:name="_Toc21298"/>
      <w:bookmarkStart w:id="17" w:name="_Toc5546"/>
      <w:bookmarkStart w:id="18" w:name="_Toc26322"/>
      <w:bookmarkStart w:id="19" w:name="_Toc32261"/>
      <w:bookmarkStart w:id="20" w:name="_Toc17506"/>
      <w:bookmarkStart w:id="21" w:name="_Toc25908"/>
      <w:bookmarkStart w:id="22" w:name="_Toc28726"/>
      <w:bookmarkStart w:id="23" w:name="_Toc9011"/>
      <w:bookmarkStart w:id="24" w:name="_Toc10575"/>
      <w:bookmarkStart w:id="25" w:name="_Toc13501"/>
      <w:bookmarkStart w:id="26" w:name="_Toc4372"/>
      <w:bookmarkStart w:id="27" w:name="_Toc16965"/>
      <w:bookmarkStart w:id="28" w:name="_Toc969"/>
      <w:r>
        <w:rPr>
          <w:rFonts w:hint="eastAsia"/>
        </w:rPr>
        <w:t>规范性引用文件</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259D8FF">
      <w:pPr>
        <w:pStyle w:val="17"/>
        <w:rPr>
          <w:rFonts w:hint="eastAsia"/>
          <w:lang w:val="en-US" w:eastAsia="zh-CN"/>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6302A1A">
      <w:pPr>
        <w:pStyle w:val="2"/>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default"/>
          <w:lang w:val="en-US" w:eastAsia="zh-CN"/>
        </w:rPr>
      </w:pPr>
      <w:r>
        <w:rPr>
          <w:rFonts w:hint="eastAsia" w:ascii="宋体" w:hAnsi="宋体" w:eastAsia="宋体" w:cs="宋体"/>
          <w:sz w:val="21"/>
          <w:szCs w:val="21"/>
          <w:lang w:val="en-US" w:eastAsia="zh-CN"/>
        </w:rPr>
        <w:t>GB/T 36344-2018  信息技术  数据质量评价指标</w:t>
      </w:r>
    </w:p>
    <w:p w14:paraId="3D42B33E">
      <w:pPr>
        <w:pStyle w:val="16"/>
        <w:spacing w:before="312" w:after="312"/>
      </w:pPr>
      <w:bookmarkStart w:id="29" w:name="_Toc810"/>
      <w:bookmarkStart w:id="30" w:name="_Toc9104"/>
      <w:bookmarkStart w:id="31" w:name="_Toc22600"/>
      <w:bookmarkStart w:id="32" w:name="_Toc5294"/>
      <w:bookmarkStart w:id="33" w:name="_Toc21133"/>
      <w:bookmarkStart w:id="34" w:name="_Toc2297"/>
      <w:bookmarkStart w:id="35" w:name="_Toc420509188"/>
      <w:bookmarkStart w:id="36" w:name="_Toc12695"/>
      <w:bookmarkStart w:id="37" w:name="_Toc6828"/>
      <w:bookmarkStart w:id="38" w:name="_Toc11012"/>
      <w:bookmarkStart w:id="39" w:name="_Toc8985"/>
      <w:bookmarkStart w:id="40" w:name="_Toc22045"/>
      <w:bookmarkStart w:id="41" w:name="_Toc32127"/>
      <w:bookmarkStart w:id="42" w:name="_Toc26159"/>
      <w:bookmarkStart w:id="43" w:name="_Toc24065"/>
      <w:bookmarkStart w:id="44" w:name="_Toc420509244"/>
      <w:r>
        <w:rPr>
          <w:rFonts w:hint="eastAsia"/>
        </w:rPr>
        <w:t>术语和定义</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530F615">
      <w:pPr>
        <w:pStyle w:val="17"/>
        <w:rPr>
          <w:rFonts w:hAnsi="宋体"/>
        </w:rPr>
      </w:pPr>
      <w:r>
        <w:rPr>
          <w:rFonts w:hAnsi="宋体"/>
        </w:rPr>
        <w:t>下列术语和定义适用于本</w:t>
      </w:r>
      <w:r>
        <w:rPr>
          <w:rFonts w:hint="eastAsia" w:hAnsi="宋体"/>
        </w:rPr>
        <w:t>文件。</w:t>
      </w:r>
    </w:p>
    <w:p w14:paraId="2EA22F40">
      <w:pPr>
        <w:pStyle w:val="18"/>
        <w:spacing w:before="156" w:after="156"/>
      </w:pPr>
      <w:bookmarkStart w:id="45" w:name="_Toc14381"/>
      <w:bookmarkEnd w:id="45"/>
      <w:bookmarkStart w:id="46" w:name="_Toc27648"/>
      <w:bookmarkEnd w:id="46"/>
      <w:bookmarkStart w:id="47" w:name="_Toc11898"/>
      <w:bookmarkEnd w:id="47"/>
      <w:bookmarkStart w:id="48" w:name="_Toc30781"/>
      <w:bookmarkEnd w:id="48"/>
      <w:bookmarkStart w:id="49" w:name="_Toc20309"/>
      <w:bookmarkEnd w:id="49"/>
      <w:bookmarkStart w:id="50" w:name="_Toc5219"/>
      <w:bookmarkEnd w:id="50"/>
      <w:bookmarkStart w:id="51" w:name="_Toc25440"/>
      <w:bookmarkEnd w:id="51"/>
      <w:bookmarkStart w:id="52" w:name="_Toc23493"/>
      <w:bookmarkEnd w:id="52"/>
      <w:bookmarkStart w:id="53" w:name="_Toc1258"/>
      <w:bookmarkEnd w:id="53"/>
      <w:bookmarkStart w:id="54" w:name="_Toc6349"/>
      <w:bookmarkEnd w:id="54"/>
      <w:bookmarkStart w:id="55" w:name="_Toc16784"/>
      <w:bookmarkEnd w:id="55"/>
      <w:bookmarkStart w:id="56" w:name="_Toc30584"/>
      <w:bookmarkEnd w:id="56"/>
      <w:bookmarkStart w:id="57" w:name="_Toc24829"/>
      <w:bookmarkEnd w:id="57"/>
      <w:bookmarkStart w:id="58" w:name="_Toc18012"/>
      <w:bookmarkEnd w:id="58"/>
      <w:bookmarkStart w:id="59" w:name="_Toc14980"/>
      <w:bookmarkEnd w:id="59"/>
      <w:bookmarkStart w:id="60" w:name="_Toc420509189"/>
      <w:bookmarkEnd w:id="60"/>
      <w:bookmarkStart w:id="61" w:name="_Toc17341"/>
      <w:bookmarkEnd w:id="61"/>
      <w:bookmarkStart w:id="62" w:name="_Toc11808"/>
      <w:bookmarkEnd w:id="62"/>
      <w:bookmarkStart w:id="63" w:name="_Toc5131"/>
      <w:bookmarkEnd w:id="63"/>
      <w:bookmarkStart w:id="64" w:name="_Toc17337"/>
      <w:bookmarkEnd w:id="64"/>
      <w:bookmarkStart w:id="65" w:name="_Toc13265"/>
      <w:bookmarkEnd w:id="65"/>
      <w:bookmarkStart w:id="66" w:name="_Toc30917"/>
      <w:bookmarkEnd w:id="66"/>
      <w:bookmarkStart w:id="67" w:name="_Toc420509245"/>
      <w:bookmarkEnd w:id="67"/>
      <w:bookmarkStart w:id="68" w:name="_Toc12270"/>
      <w:bookmarkEnd w:id="68"/>
      <w:bookmarkStart w:id="69" w:name="_Toc11884"/>
      <w:bookmarkEnd w:id="69"/>
      <w:bookmarkStart w:id="70" w:name="_Toc11248"/>
      <w:bookmarkEnd w:id="70"/>
      <w:bookmarkStart w:id="71" w:name="_Toc3181"/>
      <w:bookmarkEnd w:id="71"/>
      <w:bookmarkStart w:id="72" w:name="_Toc29340"/>
      <w:bookmarkEnd w:id="72"/>
      <w:bookmarkStart w:id="73" w:name="_Toc10953"/>
      <w:bookmarkEnd w:id="73"/>
      <w:bookmarkStart w:id="74" w:name="_Toc10404"/>
      <w:bookmarkEnd w:id="74"/>
      <w:bookmarkStart w:id="75" w:name="_Toc26201"/>
      <w:bookmarkEnd w:id="75"/>
    </w:p>
    <w:p w14:paraId="35D81D82">
      <w:pPr>
        <w:widowControl w:val="0"/>
        <w:autoSpaceDE/>
        <w:autoSpaceDN/>
        <w:ind w:firstLine="420" w:firstLineChars="200"/>
        <w:rPr>
          <w:rFonts w:hint="eastAsia" w:ascii="黑体" w:hAnsi="黑体" w:eastAsia="黑体" w:cs="黑体"/>
          <w:sz w:val="21"/>
          <w:szCs w:val="21"/>
          <w:lang w:val="en-US" w:eastAsia="zh-CN"/>
        </w:rPr>
      </w:pPr>
      <w:bookmarkStart w:id="76" w:name="_Toc24605"/>
      <w:bookmarkEnd w:id="76"/>
      <w:bookmarkStart w:id="77" w:name="_Toc28880"/>
      <w:bookmarkEnd w:id="77"/>
      <w:bookmarkStart w:id="78" w:name="_Toc29716"/>
      <w:bookmarkEnd w:id="78"/>
      <w:bookmarkStart w:id="79" w:name="_Toc11306"/>
      <w:bookmarkEnd w:id="79"/>
      <w:bookmarkStart w:id="80" w:name="_Toc28241"/>
      <w:bookmarkEnd w:id="80"/>
      <w:bookmarkStart w:id="81" w:name="_Toc7677"/>
      <w:bookmarkEnd w:id="81"/>
      <w:bookmarkStart w:id="82" w:name="_Toc27285"/>
      <w:bookmarkEnd w:id="82"/>
      <w:r>
        <w:rPr>
          <w:rFonts w:hint="eastAsia" w:ascii="黑体" w:hAnsi="黑体" w:eastAsia="黑体" w:cs="黑体"/>
          <w:sz w:val="21"/>
          <w:szCs w:val="21"/>
          <w:lang w:val="en-US" w:eastAsia="zh-CN"/>
        </w:rPr>
        <w:t>工业数据　industrial data</w:t>
      </w:r>
    </w:p>
    <w:p w14:paraId="25604694">
      <w:pPr>
        <w:widowControl w:val="0"/>
        <w:autoSpaceDE/>
        <w:autoSpaceDN/>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在工业领域中，涉及企业的所有生产活动和服务所产生的数据。</w:t>
      </w:r>
    </w:p>
    <w:p w14:paraId="2B823B44">
      <w:pPr>
        <w:widowControl w:val="0"/>
        <w:autoSpaceDE/>
        <w:autoSpaceDN/>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[来源</w:t>
      </w:r>
      <w:r>
        <w:rPr>
          <w:rFonts w:hint="eastAsia" w:cs="宋体"/>
          <w:sz w:val="21"/>
          <w:szCs w:val="21"/>
          <w:lang w:val="en-US" w:eastAsia="zh-CN"/>
        </w:rPr>
        <w:t>：</w:t>
      </w:r>
      <w:r>
        <w:rPr>
          <w:rFonts w:hint="eastAsia" w:ascii="宋体" w:hAnsi="宋体" w:eastAsia="宋体" w:cs="宋体"/>
          <w:sz w:val="21"/>
          <w:szCs w:val="21"/>
          <w:lang w:val="en-US" w:eastAsia="zh-CN"/>
        </w:rPr>
        <w:t>GB/T 42128-2022，3.1.1]</w:t>
      </w:r>
    </w:p>
    <w:p w14:paraId="4AC07475">
      <w:pPr>
        <w:pStyle w:val="18"/>
        <w:spacing w:before="156" w:after="156"/>
      </w:pPr>
    </w:p>
    <w:p w14:paraId="27129353">
      <w:pPr>
        <w:widowControl w:val="0"/>
        <w:autoSpaceDE/>
        <w:autoSpaceDN/>
        <w:ind w:firstLine="420" w:firstLineChars="200"/>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数据质量</w:t>
      </w:r>
      <w:r>
        <w:rPr>
          <w:rFonts w:hint="eastAsia" w:ascii="黑体" w:hAnsi="黑体" w:eastAsia="黑体" w:cs="黑体"/>
          <w:sz w:val="21"/>
          <w:szCs w:val="21"/>
          <w:lang w:val="en-US" w:eastAsia="zh-CN"/>
        </w:rPr>
        <w:t xml:space="preserve"> </w:t>
      </w:r>
      <w:r>
        <w:rPr>
          <w:rFonts w:hint="default" w:ascii="黑体" w:hAnsi="黑体" w:eastAsia="黑体" w:cs="黑体"/>
          <w:sz w:val="21"/>
          <w:szCs w:val="21"/>
          <w:lang w:val="en-US" w:eastAsia="zh-CN"/>
        </w:rPr>
        <w:t xml:space="preserve"> data quality</w:t>
      </w:r>
    </w:p>
    <w:p w14:paraId="5B602CFD">
      <w:pPr>
        <w:pStyle w:val="2"/>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textAlignment w:val="auto"/>
        <w:rPr>
          <w:rFonts w:hint="default"/>
          <w:lang w:val="en-US" w:eastAsia="zh-CN"/>
        </w:rPr>
      </w:pPr>
      <w:r>
        <w:rPr>
          <w:rFonts w:hint="default"/>
          <w:lang w:val="en-US" w:eastAsia="zh-CN"/>
        </w:rPr>
        <w:t>数据的一组固有特性满足要求的程度。</w:t>
      </w:r>
    </w:p>
    <w:p w14:paraId="0E05537E">
      <w:pPr>
        <w:pStyle w:val="2"/>
        <w:keepNext w:val="0"/>
        <w:keepLines w:val="0"/>
        <w:pageBreakBefore w:val="0"/>
        <w:widowControl/>
        <w:kinsoku/>
        <w:wordWrap/>
        <w:overflowPunct/>
        <w:topLinePunct w:val="0"/>
        <w:autoSpaceDE/>
        <w:autoSpaceDN/>
        <w:bidi w:val="0"/>
        <w:adjustRightInd/>
        <w:snapToGrid/>
        <w:spacing w:line="240" w:lineRule="auto"/>
        <w:ind w:right="0" w:rightChars="0" w:firstLine="360" w:firstLineChars="200"/>
        <w:textAlignment w:val="auto"/>
        <w:rPr>
          <w:rFonts w:hint="default"/>
          <w:lang w:val="en-US" w:eastAsia="zh-CN"/>
        </w:rPr>
      </w:pPr>
      <w:r>
        <w:rPr>
          <w:rFonts w:hint="eastAsia" w:ascii="黑体" w:hAnsi="黑体" w:eastAsia="黑体" w:cs="黑体"/>
          <w:sz w:val="18"/>
          <w:szCs w:val="18"/>
          <w:lang w:val="en-US" w:eastAsia="zh-CN"/>
        </w:rPr>
        <w:t>注:</w:t>
      </w:r>
      <w:r>
        <w:rPr>
          <w:rFonts w:hint="default"/>
          <w:sz w:val="18"/>
          <w:szCs w:val="18"/>
          <w:lang w:val="en-US" w:eastAsia="zh-CN"/>
        </w:rPr>
        <w:t>固有特性一般指永久性的特性。</w:t>
      </w:r>
    </w:p>
    <w:p w14:paraId="1CA1E26F">
      <w:pPr>
        <w:pStyle w:val="2"/>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textAlignment w:val="auto"/>
        <w:rPr>
          <w:rFonts w:hint="default"/>
          <w:lang w:val="en-US" w:eastAsia="zh-CN"/>
        </w:rPr>
      </w:pPr>
      <w:r>
        <w:rPr>
          <w:rFonts w:hint="default"/>
          <w:lang w:val="en-US" w:eastAsia="zh-CN"/>
        </w:rPr>
        <w:t>[来源</w:t>
      </w:r>
      <w:r>
        <w:rPr>
          <w:rFonts w:hint="eastAsia"/>
          <w:lang w:val="en-US" w:eastAsia="zh-CN"/>
        </w:rPr>
        <w:t>：</w:t>
      </w:r>
      <w:r>
        <w:rPr>
          <w:rFonts w:hint="default"/>
          <w:lang w:val="en-US" w:eastAsia="zh-CN"/>
        </w:rPr>
        <w:t>GB/T 39400-2020,3.1]</w:t>
      </w:r>
    </w:p>
    <w:p w14:paraId="0D5E3C2D">
      <w:pPr>
        <w:pStyle w:val="18"/>
        <w:spacing w:before="156" w:after="156"/>
      </w:pPr>
    </w:p>
    <w:p w14:paraId="24865FBF">
      <w:pPr>
        <w:widowControl w:val="0"/>
        <w:autoSpaceDE/>
        <w:autoSpaceDN/>
        <w:ind w:firstLine="420" w:firstLineChars="200"/>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数据质量管理</w:t>
      </w:r>
      <w:r>
        <w:rPr>
          <w:rFonts w:hint="eastAsia" w:ascii="黑体" w:hAnsi="黑体" w:eastAsia="黑体" w:cs="黑体"/>
          <w:sz w:val="21"/>
          <w:szCs w:val="21"/>
          <w:lang w:val="en-US" w:eastAsia="zh-CN"/>
        </w:rPr>
        <w:t xml:space="preserve">  </w:t>
      </w:r>
      <w:r>
        <w:rPr>
          <w:rFonts w:hint="default" w:ascii="黑体" w:hAnsi="黑体" w:eastAsia="黑体" w:cs="黑体"/>
          <w:sz w:val="21"/>
          <w:szCs w:val="21"/>
          <w:lang w:val="en-US" w:eastAsia="zh-CN"/>
        </w:rPr>
        <w:t>data quality management</w:t>
      </w:r>
    </w:p>
    <w:p w14:paraId="312D0094">
      <w:pPr>
        <w:pStyle w:val="2"/>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textAlignment w:val="auto"/>
        <w:rPr>
          <w:rFonts w:hint="default"/>
          <w:lang w:val="en-US" w:eastAsia="zh-CN"/>
        </w:rPr>
      </w:pPr>
      <w:r>
        <w:rPr>
          <w:rFonts w:hint="default"/>
          <w:lang w:val="en-US" w:eastAsia="zh-CN"/>
        </w:rPr>
        <w:t>指导和控制某机构数据质量的协调活动。</w:t>
      </w:r>
    </w:p>
    <w:p w14:paraId="20AEE85F">
      <w:pPr>
        <w:pStyle w:val="2"/>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textAlignment w:val="auto"/>
        <w:rPr>
          <w:rFonts w:hint="default"/>
          <w:lang w:val="en-US" w:eastAsia="zh-CN"/>
        </w:rPr>
      </w:pPr>
      <w:r>
        <w:rPr>
          <w:rFonts w:hint="default"/>
          <w:lang w:val="en-US" w:eastAsia="zh-CN"/>
        </w:rPr>
        <w:t>[来源</w:t>
      </w:r>
      <w:r>
        <w:rPr>
          <w:rFonts w:hint="eastAsia"/>
          <w:lang w:val="en-US" w:eastAsia="zh-CN"/>
        </w:rPr>
        <w:t>：</w:t>
      </w:r>
      <w:r>
        <w:rPr>
          <w:rFonts w:hint="default"/>
          <w:lang w:val="en-US" w:eastAsia="zh-CN"/>
        </w:rPr>
        <w:t>GB/T 39400-2020,3.2]</w:t>
      </w:r>
    </w:p>
    <w:p w14:paraId="5D5DC0C2">
      <w:pPr>
        <w:pStyle w:val="18"/>
        <w:spacing w:before="156" w:after="156"/>
      </w:pPr>
    </w:p>
    <w:p w14:paraId="3C0F47C3">
      <w:pPr>
        <w:widowControl w:val="0"/>
        <w:autoSpaceDE/>
        <w:autoSpaceDN/>
        <w:ind w:firstLine="420" w:firstLineChars="200"/>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数据质量管理工具</w:t>
      </w:r>
      <w:r>
        <w:rPr>
          <w:rFonts w:hint="eastAsia" w:ascii="黑体" w:hAnsi="黑体" w:eastAsia="黑体" w:cs="黑体"/>
          <w:sz w:val="21"/>
          <w:szCs w:val="21"/>
          <w:lang w:val="en-US" w:eastAsia="zh-CN"/>
        </w:rPr>
        <w:t xml:space="preserve">  </w:t>
      </w:r>
      <w:r>
        <w:rPr>
          <w:rFonts w:hint="default" w:ascii="黑体" w:hAnsi="黑体" w:eastAsia="黑体" w:cs="黑体"/>
          <w:sz w:val="21"/>
          <w:szCs w:val="21"/>
          <w:lang w:val="en-US" w:eastAsia="zh-CN"/>
        </w:rPr>
        <w:t>data quality management tool</w:t>
      </w:r>
    </w:p>
    <w:p w14:paraId="7E1F5005">
      <w:pPr>
        <w:pStyle w:val="2"/>
        <w:keepNext w:val="0"/>
        <w:keepLines w:val="0"/>
        <w:pageBreakBefore w:val="0"/>
        <w:widowControl/>
        <w:kinsoku/>
        <w:wordWrap/>
        <w:overflowPunct/>
        <w:topLinePunct w:val="0"/>
        <w:autoSpaceDE/>
        <w:autoSpaceDN/>
        <w:bidi w:val="0"/>
        <w:adjustRightInd/>
        <w:snapToGrid/>
        <w:spacing w:line="240" w:lineRule="auto"/>
        <w:ind w:right="0" w:rightChars="0" w:firstLine="420" w:firstLineChars="200"/>
        <w:textAlignment w:val="auto"/>
        <w:rPr>
          <w:rFonts w:hint="default"/>
          <w:lang w:val="en-US" w:eastAsia="zh-CN"/>
        </w:rPr>
      </w:pPr>
      <w:r>
        <w:rPr>
          <w:rFonts w:hint="default"/>
          <w:lang w:val="en-US" w:eastAsia="zh-CN"/>
        </w:rPr>
        <w:t>运用信息化技术和管理方法来规划、实施与控制数据质量的识别、评估、提升等一系列活动。</w:t>
      </w:r>
    </w:p>
    <w:p w14:paraId="4899E071">
      <w:pPr>
        <w:pStyle w:val="16"/>
        <w:bidi w:val="0"/>
        <w:rPr>
          <w:rFonts w:hint="eastAsia"/>
        </w:rPr>
      </w:pPr>
      <w:bookmarkStart w:id="83" w:name="_Toc1386"/>
      <w:bookmarkEnd w:id="83"/>
      <w:bookmarkStart w:id="84" w:name="_Toc25377"/>
      <w:bookmarkEnd w:id="84"/>
      <w:bookmarkStart w:id="85" w:name="_Toc24018"/>
      <w:bookmarkStart w:id="86" w:name="_Toc15478"/>
      <w:r>
        <w:rPr>
          <w:rFonts w:hint="eastAsia"/>
          <w:lang w:val="en-US" w:eastAsia="zh-CN"/>
        </w:rPr>
        <w:t>总体要求</w:t>
      </w:r>
      <w:bookmarkEnd w:id="85"/>
    </w:p>
    <w:p w14:paraId="23A5417D">
      <w:pPr>
        <w:pStyle w:val="17"/>
        <w:rPr>
          <w:rFonts w:hint="default" w:eastAsia="宋体"/>
          <w:lang w:val="en-US" w:eastAsia="zh-CN"/>
        </w:rPr>
      </w:pPr>
      <w:r>
        <w:rPr>
          <w:rFonts w:hint="eastAsia"/>
          <w:lang w:val="en-US" w:eastAsia="zh-CN"/>
        </w:rPr>
        <w:t>工业数据流通过程中，相关单位应</w:t>
      </w:r>
      <w:r>
        <w:rPr>
          <w:rFonts w:hint="eastAsia"/>
        </w:rPr>
        <w:t>按本</w:t>
      </w:r>
      <w:r>
        <w:rPr>
          <w:rFonts w:hint="eastAsia"/>
          <w:lang w:val="en-US" w:eastAsia="zh-CN"/>
        </w:rPr>
        <w:t>文件</w:t>
      </w:r>
      <w:r>
        <w:rPr>
          <w:rFonts w:hint="eastAsia"/>
        </w:rPr>
        <w:t>的要求建立数据质量管理体系</w:t>
      </w:r>
      <w:r>
        <w:rPr>
          <w:rFonts w:hint="eastAsia"/>
          <w:lang w:eastAsia="zh-CN"/>
        </w:rPr>
        <w:t>，</w:t>
      </w:r>
      <w:r>
        <w:rPr>
          <w:rFonts w:hint="eastAsia"/>
        </w:rPr>
        <w:t>编写出台相应的文件，在执行过程中应对其有效性进行持续改进</w:t>
      </w:r>
      <w:r>
        <w:rPr>
          <w:rFonts w:hint="eastAsia"/>
          <w:lang w:eastAsia="zh-CN"/>
        </w:rPr>
        <w:t>，</w:t>
      </w:r>
      <w:r>
        <w:rPr>
          <w:rFonts w:hint="eastAsia"/>
        </w:rPr>
        <w:t>实现数据质量的持续提高。</w:t>
      </w:r>
      <w:r>
        <w:rPr>
          <w:rFonts w:hint="eastAsia"/>
          <w:lang w:val="en-US" w:eastAsia="zh-CN"/>
        </w:rPr>
        <w:t>具体包括：</w:t>
      </w:r>
    </w:p>
    <w:p w14:paraId="5AA36568">
      <w:pPr>
        <w:pStyle w:val="17"/>
        <w:keepNext w:val="0"/>
        <w:keepLines w:val="0"/>
        <w:pageBreakBefore w:val="0"/>
        <w:widowControl/>
        <w:numPr>
          <w:ilvl w:val="0"/>
          <w:numId w:val="5"/>
        </w:numPr>
        <w:kinsoku/>
        <w:wordWrap/>
        <w:overflowPunct/>
        <w:topLinePunct w:val="0"/>
        <w:autoSpaceDE w:val="0"/>
        <w:autoSpaceDN w:val="0"/>
        <w:bidi w:val="0"/>
        <w:adjustRightInd/>
        <w:snapToGrid/>
        <w:ind w:left="840" w:leftChars="200" w:hanging="420" w:hangingChars="200"/>
        <w:textAlignment w:val="auto"/>
        <w:rPr>
          <w:rFonts w:hint="eastAsia"/>
        </w:rPr>
      </w:pPr>
      <w:r>
        <w:rPr>
          <w:rFonts w:hint="eastAsia"/>
        </w:rPr>
        <w:t>识别数据质量管理工作覆盖的范围</w:t>
      </w:r>
      <w:r>
        <w:rPr>
          <w:rFonts w:hint="eastAsia"/>
          <w:lang w:eastAsia="zh-CN"/>
        </w:rPr>
        <w:t>，</w:t>
      </w:r>
      <w:r>
        <w:rPr>
          <w:rFonts w:hint="eastAsia"/>
        </w:rPr>
        <w:t>确定数据质量管理涉及的环节和流程</w:t>
      </w:r>
      <w:r>
        <w:rPr>
          <w:rFonts w:hint="eastAsia"/>
          <w:lang w:eastAsia="zh-CN"/>
        </w:rPr>
        <w:t>；</w:t>
      </w:r>
    </w:p>
    <w:p w14:paraId="78AFD710">
      <w:pPr>
        <w:pStyle w:val="17"/>
        <w:keepNext w:val="0"/>
        <w:keepLines w:val="0"/>
        <w:pageBreakBefore w:val="0"/>
        <w:widowControl/>
        <w:numPr>
          <w:ilvl w:val="0"/>
          <w:numId w:val="5"/>
        </w:numPr>
        <w:kinsoku/>
        <w:wordWrap/>
        <w:overflowPunct/>
        <w:topLinePunct w:val="0"/>
        <w:autoSpaceDE w:val="0"/>
        <w:autoSpaceDN w:val="0"/>
        <w:bidi w:val="0"/>
        <w:adjustRightInd/>
        <w:snapToGrid/>
        <w:ind w:left="840" w:leftChars="200" w:hanging="420" w:hangingChars="200"/>
        <w:textAlignment w:val="auto"/>
        <w:rPr>
          <w:rFonts w:hint="eastAsia"/>
          <w:lang w:eastAsia="zh-CN"/>
        </w:rPr>
      </w:pPr>
      <w:r>
        <w:rPr>
          <w:rFonts w:hint="eastAsia"/>
        </w:rPr>
        <w:t>确定这些环节和流程的顺序和相互关系</w:t>
      </w:r>
      <w:r>
        <w:rPr>
          <w:rFonts w:hint="eastAsia"/>
          <w:lang w:eastAsia="zh-CN"/>
        </w:rPr>
        <w:t>；</w:t>
      </w:r>
    </w:p>
    <w:p w14:paraId="71CB30ED">
      <w:pPr>
        <w:pStyle w:val="17"/>
        <w:keepNext w:val="0"/>
        <w:keepLines w:val="0"/>
        <w:pageBreakBefore w:val="0"/>
        <w:widowControl/>
        <w:numPr>
          <w:ilvl w:val="0"/>
          <w:numId w:val="5"/>
        </w:numPr>
        <w:kinsoku/>
        <w:wordWrap/>
        <w:overflowPunct/>
        <w:topLinePunct w:val="0"/>
        <w:autoSpaceDE w:val="0"/>
        <w:autoSpaceDN w:val="0"/>
        <w:bidi w:val="0"/>
        <w:adjustRightInd/>
        <w:snapToGrid/>
        <w:ind w:left="840" w:leftChars="200" w:hanging="420" w:hangingChars="200"/>
        <w:textAlignment w:val="auto"/>
        <w:rPr>
          <w:rFonts w:hint="eastAsia"/>
          <w:lang w:eastAsia="zh-CN"/>
        </w:rPr>
      </w:pPr>
      <w:r>
        <w:rPr>
          <w:rFonts w:hint="eastAsia"/>
        </w:rPr>
        <w:t>确定所需采取的准则和方法,以确保这些环节和流程的运行及控制有效</w:t>
      </w:r>
      <w:r>
        <w:rPr>
          <w:rFonts w:hint="eastAsia"/>
          <w:lang w:eastAsia="zh-CN"/>
        </w:rPr>
        <w:t>；</w:t>
      </w:r>
    </w:p>
    <w:p w14:paraId="25E41994">
      <w:pPr>
        <w:pStyle w:val="17"/>
        <w:keepNext w:val="0"/>
        <w:keepLines w:val="0"/>
        <w:pageBreakBefore w:val="0"/>
        <w:widowControl/>
        <w:numPr>
          <w:ilvl w:val="0"/>
          <w:numId w:val="5"/>
        </w:numPr>
        <w:kinsoku/>
        <w:wordWrap/>
        <w:overflowPunct/>
        <w:topLinePunct w:val="0"/>
        <w:autoSpaceDE w:val="0"/>
        <w:autoSpaceDN w:val="0"/>
        <w:bidi w:val="0"/>
        <w:adjustRightInd/>
        <w:snapToGrid/>
        <w:ind w:left="840" w:leftChars="200" w:hanging="420" w:hangingChars="200"/>
        <w:textAlignment w:val="auto"/>
        <w:rPr>
          <w:rFonts w:hint="eastAsia"/>
          <w:lang w:eastAsia="zh-CN"/>
        </w:rPr>
      </w:pPr>
      <w:r>
        <w:rPr>
          <w:rFonts w:hint="eastAsia"/>
        </w:rPr>
        <w:t>确保管理职责明晰、保障机制健全</w:t>
      </w:r>
      <w:r>
        <w:rPr>
          <w:rFonts w:hint="eastAsia"/>
          <w:lang w:eastAsia="zh-CN"/>
        </w:rPr>
        <w:t>，</w:t>
      </w:r>
      <w:r>
        <w:rPr>
          <w:rFonts w:hint="eastAsia"/>
        </w:rPr>
        <w:t>以支持这些环节和流程的运行和监控</w:t>
      </w:r>
      <w:r>
        <w:rPr>
          <w:rFonts w:hint="eastAsia"/>
          <w:lang w:eastAsia="zh-CN"/>
        </w:rPr>
        <w:t>；</w:t>
      </w:r>
    </w:p>
    <w:p w14:paraId="2634EA4A">
      <w:pPr>
        <w:pStyle w:val="17"/>
        <w:keepNext w:val="0"/>
        <w:keepLines w:val="0"/>
        <w:pageBreakBefore w:val="0"/>
        <w:widowControl/>
        <w:numPr>
          <w:ilvl w:val="0"/>
          <w:numId w:val="5"/>
        </w:numPr>
        <w:kinsoku/>
        <w:wordWrap/>
        <w:overflowPunct/>
        <w:topLinePunct w:val="0"/>
        <w:autoSpaceDE w:val="0"/>
        <w:autoSpaceDN w:val="0"/>
        <w:bidi w:val="0"/>
        <w:adjustRightInd/>
        <w:snapToGrid/>
        <w:ind w:left="840" w:leftChars="200" w:hanging="420" w:hangingChars="200"/>
        <w:textAlignment w:val="auto"/>
        <w:rPr>
          <w:rFonts w:hint="eastAsia"/>
          <w:lang w:eastAsia="zh-CN"/>
        </w:rPr>
      </w:pPr>
      <w:r>
        <w:rPr>
          <w:rFonts w:hint="eastAsia"/>
        </w:rPr>
        <w:t>对这些环节和流程进行分析、监督和考核</w:t>
      </w:r>
      <w:r>
        <w:rPr>
          <w:rFonts w:hint="eastAsia"/>
          <w:lang w:eastAsia="zh-CN"/>
        </w:rPr>
        <w:t>；</w:t>
      </w:r>
    </w:p>
    <w:p w14:paraId="289B9A19">
      <w:pPr>
        <w:pStyle w:val="17"/>
        <w:keepNext w:val="0"/>
        <w:keepLines w:val="0"/>
        <w:pageBreakBefore w:val="0"/>
        <w:widowControl/>
        <w:numPr>
          <w:ilvl w:val="0"/>
          <w:numId w:val="5"/>
        </w:numPr>
        <w:kinsoku/>
        <w:wordWrap/>
        <w:overflowPunct/>
        <w:topLinePunct w:val="0"/>
        <w:autoSpaceDE w:val="0"/>
        <w:autoSpaceDN w:val="0"/>
        <w:bidi w:val="0"/>
        <w:adjustRightInd/>
        <w:snapToGrid/>
        <w:ind w:left="840" w:leftChars="200" w:hanging="420" w:hangingChars="200"/>
        <w:textAlignment w:val="auto"/>
        <w:rPr>
          <w:rFonts w:hint="eastAsia"/>
        </w:rPr>
      </w:pPr>
      <w:r>
        <w:rPr>
          <w:rFonts w:hint="eastAsia"/>
        </w:rPr>
        <w:t>采取必要的措施</w:t>
      </w:r>
      <w:r>
        <w:rPr>
          <w:rFonts w:hint="eastAsia"/>
          <w:lang w:eastAsia="zh-CN"/>
        </w:rPr>
        <w:t>，</w:t>
      </w:r>
      <w:r>
        <w:rPr>
          <w:rFonts w:hint="eastAsia"/>
        </w:rPr>
        <w:t>以实现数据质量管理目标和对这些环节和流程的持续改进。</w:t>
      </w:r>
    </w:p>
    <w:p w14:paraId="406931A6">
      <w:pPr>
        <w:pStyle w:val="16"/>
        <w:bidi w:val="0"/>
        <w:rPr>
          <w:rFonts w:hint="eastAsia"/>
        </w:rPr>
      </w:pPr>
      <w:bookmarkStart w:id="87" w:name="_Toc18979"/>
      <w:r>
        <w:rPr>
          <w:rFonts w:hint="eastAsia"/>
          <w:lang w:val="en-US" w:eastAsia="zh-CN"/>
        </w:rPr>
        <w:t>职责要求</w:t>
      </w:r>
      <w:bookmarkEnd w:id="87"/>
    </w:p>
    <w:p w14:paraId="7CDEE96B">
      <w:pPr>
        <w:pStyle w:val="17"/>
        <w:rPr>
          <w:rFonts w:hint="eastAsia"/>
          <w:lang w:val="en-US" w:eastAsia="zh-CN"/>
        </w:rPr>
      </w:pPr>
      <w:r>
        <w:rPr>
          <w:rFonts w:hint="eastAsia"/>
          <w:lang w:val="en-US" w:eastAsia="zh-CN"/>
        </w:rPr>
        <w:t>数据质量管理者</w:t>
      </w:r>
      <w:r>
        <w:rPr>
          <w:rFonts w:hint="eastAsia"/>
        </w:rPr>
        <w:t>应对本单位与数据质量</w:t>
      </w:r>
      <w:r>
        <w:rPr>
          <w:rFonts w:hint="eastAsia"/>
          <w:lang w:val="en-US" w:eastAsia="zh-CN"/>
        </w:rPr>
        <w:t>管理相关的工作</w:t>
      </w:r>
      <w:r>
        <w:rPr>
          <w:rFonts w:hint="eastAsia"/>
        </w:rPr>
        <w:t>作出规定</w:t>
      </w:r>
      <w:r>
        <w:rPr>
          <w:rFonts w:hint="eastAsia"/>
          <w:lang w:eastAsia="zh-CN"/>
        </w:rPr>
        <w:t>，</w:t>
      </w:r>
      <w:r>
        <w:rPr>
          <w:rFonts w:hint="eastAsia"/>
          <w:lang w:val="en-US" w:eastAsia="zh-CN"/>
        </w:rPr>
        <w:t>具有以下方面的职责：</w:t>
      </w:r>
    </w:p>
    <w:p w14:paraId="5864BEC0">
      <w:pPr>
        <w:pStyle w:val="17"/>
        <w:keepNext w:val="0"/>
        <w:keepLines w:val="0"/>
        <w:pageBreakBefore w:val="0"/>
        <w:widowControl/>
        <w:numPr>
          <w:ilvl w:val="0"/>
          <w:numId w:val="6"/>
        </w:numPr>
        <w:kinsoku/>
        <w:wordWrap/>
        <w:overflowPunct/>
        <w:topLinePunct w:val="0"/>
        <w:autoSpaceDE w:val="0"/>
        <w:autoSpaceDN w:val="0"/>
        <w:bidi w:val="0"/>
        <w:adjustRightInd/>
        <w:snapToGrid/>
        <w:ind w:left="840" w:leftChars="200" w:hanging="420" w:hangingChars="200"/>
        <w:textAlignment w:val="auto"/>
        <w:rPr>
          <w:rFonts w:hint="default"/>
          <w:lang w:val="en-US" w:eastAsia="zh-CN"/>
        </w:rPr>
      </w:pPr>
      <w:r>
        <w:rPr>
          <w:rFonts w:hint="default"/>
          <w:lang w:val="en-US" w:eastAsia="zh-CN"/>
        </w:rPr>
        <w:t>指导推进、监督考核</w:t>
      </w:r>
      <w:r>
        <w:rPr>
          <w:rFonts w:hint="eastAsia"/>
          <w:lang w:val="en-US" w:eastAsia="zh-CN"/>
        </w:rPr>
        <w:t>本单位工业</w:t>
      </w:r>
      <w:r>
        <w:rPr>
          <w:rFonts w:hint="default"/>
          <w:lang w:val="en-US" w:eastAsia="zh-CN"/>
        </w:rPr>
        <w:t>数据</w:t>
      </w:r>
      <w:r>
        <w:rPr>
          <w:rFonts w:hint="eastAsia"/>
          <w:lang w:val="en-US" w:eastAsia="zh-CN"/>
        </w:rPr>
        <w:t>流通</w:t>
      </w:r>
      <w:r>
        <w:rPr>
          <w:rFonts w:hint="default"/>
          <w:lang w:val="en-US" w:eastAsia="zh-CN"/>
        </w:rPr>
        <w:t>、利用相关工作</w:t>
      </w:r>
      <w:r>
        <w:rPr>
          <w:rFonts w:hint="eastAsia"/>
          <w:lang w:val="en-US" w:eastAsia="zh-CN"/>
        </w:rPr>
        <w:t>；</w:t>
      </w:r>
    </w:p>
    <w:p w14:paraId="48FE35BB">
      <w:pPr>
        <w:pStyle w:val="17"/>
        <w:keepNext w:val="0"/>
        <w:keepLines w:val="0"/>
        <w:pageBreakBefore w:val="0"/>
        <w:widowControl/>
        <w:numPr>
          <w:ilvl w:val="0"/>
          <w:numId w:val="6"/>
        </w:numPr>
        <w:kinsoku/>
        <w:wordWrap/>
        <w:overflowPunct/>
        <w:topLinePunct w:val="0"/>
        <w:autoSpaceDE w:val="0"/>
        <w:autoSpaceDN w:val="0"/>
        <w:bidi w:val="0"/>
        <w:adjustRightInd/>
        <w:snapToGrid/>
        <w:ind w:left="840" w:leftChars="200" w:hanging="420" w:hangingChars="200"/>
        <w:textAlignment w:val="auto"/>
        <w:rPr>
          <w:rFonts w:hint="eastAsia"/>
          <w:lang w:val="en-US" w:eastAsia="zh-CN"/>
        </w:rPr>
      </w:pPr>
      <w:r>
        <w:rPr>
          <w:rFonts w:hint="default"/>
          <w:lang w:val="en-US" w:eastAsia="zh-CN"/>
        </w:rPr>
        <w:t>根据需要确保按照本</w:t>
      </w:r>
      <w:r>
        <w:rPr>
          <w:rFonts w:hint="eastAsia"/>
          <w:lang w:val="en-US" w:eastAsia="zh-CN"/>
        </w:rPr>
        <w:t>文件</w:t>
      </w:r>
      <w:r>
        <w:rPr>
          <w:rFonts w:hint="default"/>
          <w:lang w:val="en-US" w:eastAsia="zh-CN"/>
        </w:rPr>
        <w:t>的要求</w:t>
      </w:r>
      <w:r>
        <w:rPr>
          <w:rFonts w:hint="eastAsia"/>
          <w:lang w:val="en-US" w:eastAsia="zh-CN"/>
        </w:rPr>
        <w:t>，</w:t>
      </w:r>
      <w:r>
        <w:rPr>
          <w:rFonts w:hint="default"/>
          <w:lang w:val="en-US" w:eastAsia="zh-CN"/>
        </w:rPr>
        <w:t>建立、实施、保持并持续改进数据质量管理体系</w:t>
      </w:r>
      <w:r>
        <w:rPr>
          <w:rFonts w:hint="eastAsia"/>
          <w:lang w:val="en-US" w:eastAsia="zh-CN"/>
        </w:rPr>
        <w:t>；</w:t>
      </w:r>
    </w:p>
    <w:p w14:paraId="6D592CF7">
      <w:pPr>
        <w:pStyle w:val="17"/>
        <w:keepNext w:val="0"/>
        <w:keepLines w:val="0"/>
        <w:pageBreakBefore w:val="0"/>
        <w:widowControl/>
        <w:numPr>
          <w:ilvl w:val="0"/>
          <w:numId w:val="6"/>
        </w:numPr>
        <w:kinsoku/>
        <w:wordWrap/>
        <w:overflowPunct/>
        <w:topLinePunct w:val="0"/>
        <w:autoSpaceDE w:val="0"/>
        <w:autoSpaceDN w:val="0"/>
        <w:bidi w:val="0"/>
        <w:adjustRightInd/>
        <w:snapToGrid/>
        <w:ind w:left="840" w:leftChars="200" w:hanging="420" w:hangingChars="200"/>
        <w:textAlignment w:val="auto"/>
        <w:rPr>
          <w:rFonts w:hint="eastAsia"/>
          <w:lang w:val="en-US" w:eastAsia="zh-CN"/>
        </w:rPr>
      </w:pPr>
      <w:r>
        <w:rPr>
          <w:rFonts w:hint="default"/>
          <w:lang w:val="en-US" w:eastAsia="zh-CN"/>
        </w:rPr>
        <w:t>提出</w:t>
      </w:r>
      <w:r>
        <w:rPr>
          <w:rFonts w:hint="eastAsia"/>
          <w:lang w:val="en-US" w:eastAsia="zh-CN"/>
        </w:rPr>
        <w:t>工业</w:t>
      </w:r>
      <w:r>
        <w:rPr>
          <w:rFonts w:hint="default"/>
          <w:lang w:val="en-US" w:eastAsia="zh-CN"/>
        </w:rPr>
        <w:t>数据的数据目录规范、数据质量指标要求，制定数据质量管理规则</w:t>
      </w:r>
      <w:r>
        <w:rPr>
          <w:rFonts w:hint="eastAsia"/>
          <w:lang w:val="en-US" w:eastAsia="zh-CN"/>
        </w:rPr>
        <w:t>，确保数据质量管理工作有明确的目标和评估标准；</w:t>
      </w:r>
    </w:p>
    <w:p w14:paraId="2A74CE88">
      <w:pPr>
        <w:pStyle w:val="17"/>
        <w:keepNext w:val="0"/>
        <w:keepLines w:val="0"/>
        <w:pageBreakBefore w:val="0"/>
        <w:widowControl/>
        <w:numPr>
          <w:ilvl w:val="0"/>
          <w:numId w:val="6"/>
        </w:numPr>
        <w:kinsoku/>
        <w:wordWrap/>
        <w:overflowPunct/>
        <w:topLinePunct w:val="0"/>
        <w:autoSpaceDE w:val="0"/>
        <w:autoSpaceDN w:val="0"/>
        <w:bidi w:val="0"/>
        <w:adjustRightInd/>
        <w:snapToGrid/>
        <w:ind w:left="840" w:leftChars="200" w:hanging="420" w:hangingChars="200"/>
        <w:textAlignment w:val="auto"/>
        <w:rPr>
          <w:rFonts w:hint="default"/>
          <w:lang w:val="en-US" w:eastAsia="zh-CN"/>
        </w:rPr>
      </w:pPr>
      <w:r>
        <w:rPr>
          <w:rFonts w:hint="default"/>
          <w:lang w:val="en-US" w:eastAsia="zh-CN"/>
        </w:rPr>
        <w:t>向最高管理者报告数据质量管理</w:t>
      </w:r>
      <w:r>
        <w:rPr>
          <w:rFonts w:hint="eastAsia"/>
          <w:lang w:val="en-US" w:eastAsia="zh-CN"/>
        </w:rPr>
        <w:t>情况</w:t>
      </w:r>
      <w:r>
        <w:rPr>
          <w:rFonts w:hint="default"/>
          <w:lang w:val="en-US" w:eastAsia="zh-CN"/>
        </w:rPr>
        <w:t>和改进需求</w:t>
      </w:r>
      <w:r>
        <w:rPr>
          <w:rFonts w:hint="eastAsia"/>
          <w:lang w:val="en-US" w:eastAsia="zh-CN"/>
        </w:rPr>
        <w:t>，提供数据质量监测和评估报告；</w:t>
      </w:r>
    </w:p>
    <w:p w14:paraId="3B34D087">
      <w:pPr>
        <w:pStyle w:val="17"/>
        <w:keepNext w:val="0"/>
        <w:keepLines w:val="0"/>
        <w:pageBreakBefore w:val="0"/>
        <w:widowControl/>
        <w:numPr>
          <w:ilvl w:val="0"/>
          <w:numId w:val="6"/>
        </w:numPr>
        <w:kinsoku/>
        <w:wordWrap/>
        <w:overflowPunct/>
        <w:topLinePunct w:val="0"/>
        <w:autoSpaceDE w:val="0"/>
        <w:autoSpaceDN w:val="0"/>
        <w:bidi w:val="0"/>
        <w:adjustRightInd/>
        <w:snapToGrid/>
        <w:ind w:left="840" w:leftChars="200" w:hanging="420" w:hangingChars="200"/>
        <w:textAlignment w:val="auto"/>
        <w:rPr>
          <w:rFonts w:hint="default"/>
          <w:lang w:val="en-US" w:eastAsia="zh-CN"/>
        </w:rPr>
      </w:pPr>
      <w:r>
        <w:rPr>
          <w:rFonts w:hint="default"/>
          <w:lang w:val="en-US" w:eastAsia="zh-CN"/>
        </w:rPr>
        <w:t>负责与数据质量管理工作有关的外部联系工作</w:t>
      </w:r>
      <w:r>
        <w:rPr>
          <w:rFonts w:hint="eastAsia"/>
          <w:lang w:val="en-US" w:eastAsia="zh-CN"/>
        </w:rPr>
        <w:t>；</w:t>
      </w:r>
    </w:p>
    <w:p w14:paraId="6A90A8A7">
      <w:pPr>
        <w:pStyle w:val="17"/>
        <w:keepNext w:val="0"/>
        <w:keepLines w:val="0"/>
        <w:pageBreakBefore w:val="0"/>
        <w:widowControl/>
        <w:numPr>
          <w:ilvl w:val="0"/>
          <w:numId w:val="6"/>
        </w:numPr>
        <w:kinsoku/>
        <w:wordWrap/>
        <w:overflowPunct/>
        <w:topLinePunct w:val="0"/>
        <w:autoSpaceDE w:val="0"/>
        <w:autoSpaceDN w:val="0"/>
        <w:bidi w:val="0"/>
        <w:adjustRightInd/>
        <w:snapToGrid/>
        <w:ind w:left="840" w:leftChars="200" w:hanging="420" w:hangingChars="200"/>
        <w:textAlignment w:val="auto"/>
        <w:rPr>
          <w:rFonts w:hint="default"/>
          <w:lang w:val="en-US" w:eastAsia="zh-CN"/>
        </w:rPr>
      </w:pPr>
      <w:r>
        <w:rPr>
          <w:rFonts w:hint="default"/>
          <w:lang w:val="en-US" w:eastAsia="zh-CN"/>
        </w:rPr>
        <w:t>对</w:t>
      </w:r>
      <w:r>
        <w:rPr>
          <w:rFonts w:hint="eastAsia"/>
          <w:lang w:val="en-US" w:eastAsia="zh-CN"/>
        </w:rPr>
        <w:t>其他部门</w:t>
      </w:r>
      <w:r>
        <w:rPr>
          <w:rFonts w:hint="default"/>
          <w:lang w:val="en-US" w:eastAsia="zh-CN"/>
        </w:rPr>
        <w:t>提出的数据质量要求及时进行处理和反馈</w:t>
      </w:r>
      <w:r>
        <w:rPr>
          <w:rFonts w:hint="eastAsia"/>
          <w:lang w:val="en-US" w:eastAsia="zh-CN"/>
        </w:rPr>
        <w:t>，定期执行</w:t>
      </w:r>
      <w:r>
        <w:rPr>
          <w:rFonts w:hint="default"/>
          <w:lang w:val="en-US" w:eastAsia="zh-CN"/>
        </w:rPr>
        <w:t>数据质量评估。</w:t>
      </w:r>
    </w:p>
    <w:p w14:paraId="37E036E6">
      <w:pPr>
        <w:pStyle w:val="16"/>
        <w:bidi w:val="0"/>
        <w:rPr>
          <w:rFonts w:hint="eastAsia"/>
        </w:rPr>
      </w:pPr>
      <w:bookmarkStart w:id="88" w:name="_Toc27439"/>
      <w:r>
        <w:rPr>
          <w:rFonts w:hint="eastAsia"/>
          <w:lang w:val="en-US" w:eastAsia="zh-CN"/>
        </w:rPr>
        <w:t>数据质量管理指标</w:t>
      </w:r>
      <w:bookmarkEnd w:id="88"/>
    </w:p>
    <w:p w14:paraId="3DB94B6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工业数据质量管理指标框架见图1，应基于此框架对工业数据进行数据质量的符合性评价。</w:t>
      </w:r>
    </w:p>
    <w:p w14:paraId="73CFFAAF">
      <w:pPr>
        <w:keepNext w:val="0"/>
        <w:keepLines w:val="0"/>
        <w:pageBreakBefore w:val="0"/>
        <w:widowControl w:val="0"/>
        <w:kinsoku/>
        <w:wordWrap/>
        <w:overflowPunct/>
        <w:topLinePunct w:val="0"/>
        <w:autoSpaceDE/>
        <w:autoSpaceDN/>
        <w:bidi w:val="0"/>
        <w:adjustRightInd/>
        <w:snapToGrid/>
        <w:jc w:val="center"/>
        <w:textAlignment w:val="auto"/>
        <w:rPr>
          <w:rFonts w:hint="eastAsia"/>
          <w:lang w:val="en-US" w:eastAsia="zh-CN"/>
        </w:rPr>
      </w:pPr>
      <w:r>
        <w:rPr>
          <w:rFonts w:hint="eastAsia"/>
          <w:lang w:val="en-US" w:eastAsia="zh-CN"/>
        </w:rPr>
        <w:drawing>
          <wp:inline distT="0" distB="0" distL="114300" distR="114300">
            <wp:extent cx="5271770" cy="1284605"/>
            <wp:effectExtent l="0" t="0" r="1270" b="10795"/>
            <wp:docPr id="2" name="图片 18" descr="质量管理指标框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descr="质量管理指标框架"/>
                    <pic:cNvPicPr>
                      <a:picLocks noChangeAspect="1"/>
                    </pic:cNvPicPr>
                  </pic:nvPicPr>
                  <pic:blipFill>
                    <a:blip r:embed="rId19"/>
                    <a:stretch>
                      <a:fillRect/>
                    </a:stretch>
                  </pic:blipFill>
                  <pic:spPr>
                    <a:xfrm>
                      <a:off x="0" y="0"/>
                      <a:ext cx="5271770" cy="1284605"/>
                    </a:xfrm>
                    <a:prstGeom prst="rect">
                      <a:avLst/>
                    </a:prstGeom>
                    <a:noFill/>
                    <a:ln>
                      <a:noFill/>
                    </a:ln>
                  </pic:spPr>
                </pic:pic>
              </a:graphicData>
            </a:graphic>
          </wp:inline>
        </w:drawing>
      </w:r>
    </w:p>
    <w:p w14:paraId="6E96184D">
      <w:pPr>
        <w:pStyle w:val="2"/>
        <w:keepNext w:val="0"/>
        <w:keepLines w:val="0"/>
        <w:pageBreakBefore w:val="0"/>
        <w:widowControl/>
        <w:kinsoku/>
        <w:wordWrap/>
        <w:overflowPunct/>
        <w:topLinePunct w:val="0"/>
        <w:autoSpaceDE/>
        <w:autoSpaceDN/>
        <w:bidi w:val="0"/>
        <w:adjustRightInd/>
        <w:snapToGrid/>
        <w:spacing w:before="157" w:beforeLines="50" w:after="157" w:afterLines="50" w:line="240" w:lineRule="auto"/>
        <w:ind w:right="0" w:rightChars="0"/>
        <w:jc w:val="center"/>
        <w:textAlignment w:val="auto"/>
        <w:rPr>
          <w:rFonts w:hint="default"/>
          <w:lang w:val="en-US" w:eastAsia="zh-CN"/>
        </w:rPr>
      </w:pPr>
      <w:r>
        <w:rPr>
          <w:rFonts w:hint="eastAsia" w:ascii="黑体" w:hAnsi="黑体" w:eastAsia="黑体" w:cs="黑体"/>
          <w:lang w:val="en-US" w:eastAsia="zh-CN"/>
        </w:rPr>
        <w:t>图1  质量管理指标框架</w:t>
      </w:r>
    </w:p>
    <w:p w14:paraId="3A23AB6C">
      <w:pPr>
        <w:pStyle w:val="17"/>
      </w:pPr>
      <w:r>
        <w:rPr>
          <w:rFonts w:hint="eastAsia"/>
        </w:rPr>
        <w:t>各质量特性的说明如下：</w:t>
      </w:r>
    </w:p>
    <w:p w14:paraId="7D87BC4A">
      <w:pPr>
        <w:numPr>
          <w:ilvl w:val="0"/>
          <w:numId w:val="7"/>
        </w:numPr>
        <w:ind w:left="840" w:leftChars="200" w:hanging="420" w:hangingChars="200"/>
        <w:rPr>
          <w:rFonts w:ascii="宋体" w:hAnsi="宋体" w:cs="宋体"/>
        </w:rPr>
      </w:pPr>
      <w:r>
        <w:rPr>
          <w:rFonts w:hint="eastAsia" w:ascii="宋体" w:hAnsi="宋体" w:cs="宋体"/>
        </w:rPr>
        <w:t>规范性：数据符合数据标准、数据模型、业务规则、元数据、权威参考数据及安全规范的程度。</w:t>
      </w:r>
    </w:p>
    <w:p w14:paraId="7FD67571">
      <w:pPr>
        <w:numPr>
          <w:ilvl w:val="0"/>
          <w:numId w:val="8"/>
        </w:numPr>
        <w:ind w:left="1260" w:hanging="420"/>
        <w:rPr>
          <w:rFonts w:ascii="宋体" w:hAnsi="宋体" w:cs="宋体"/>
        </w:rPr>
      </w:pPr>
      <w:r>
        <w:rPr>
          <w:rFonts w:hint="eastAsia" w:ascii="宋体" w:hAnsi="宋体" w:cs="宋体"/>
        </w:rPr>
        <w:t>数据标准是数据的命名、定义、结构和取值规范方面的规则和基准</w:t>
      </w:r>
      <w:r>
        <w:rPr>
          <w:rFonts w:hint="eastAsia" w:cs="宋体"/>
          <w:lang w:eastAsia="zh-CN"/>
        </w:rPr>
        <w:t>。</w:t>
      </w:r>
    </w:p>
    <w:p w14:paraId="6F593B60">
      <w:pPr>
        <w:numPr>
          <w:ilvl w:val="0"/>
          <w:numId w:val="8"/>
        </w:numPr>
        <w:ind w:left="1260" w:hanging="420"/>
        <w:rPr>
          <w:rFonts w:ascii="宋体" w:hAnsi="宋体" w:cs="宋体"/>
        </w:rPr>
      </w:pPr>
      <w:r>
        <w:rPr>
          <w:rFonts w:hint="eastAsia" w:ascii="宋体" w:hAnsi="宋体" w:cs="宋体"/>
        </w:rPr>
        <w:t>数据模型是对分析的图像和文本表述，该分析识别了组织为完成其使命、功能、目标、目的和战略，以及管理和评价组织所需要的数据</w:t>
      </w:r>
      <w:r>
        <w:rPr>
          <w:rFonts w:hint="eastAsia" w:cs="宋体"/>
          <w:lang w:eastAsia="zh-CN"/>
        </w:rPr>
        <w:t>。</w:t>
      </w:r>
    </w:p>
    <w:p w14:paraId="79D3107E">
      <w:pPr>
        <w:numPr>
          <w:ilvl w:val="0"/>
          <w:numId w:val="8"/>
        </w:numPr>
        <w:ind w:left="1260" w:hanging="420"/>
        <w:rPr>
          <w:rFonts w:ascii="宋体" w:hAnsi="宋体" w:cs="宋体"/>
        </w:rPr>
      </w:pPr>
      <w:r>
        <w:rPr>
          <w:rFonts w:hint="eastAsia" w:ascii="宋体" w:hAnsi="宋体" w:cs="宋体"/>
        </w:rPr>
        <w:t>业务规则是一种权威性原则或指导方针，用来描述业务交互，并建立行动和数据行为结果及完整性的规则</w:t>
      </w:r>
      <w:r>
        <w:rPr>
          <w:rFonts w:hint="eastAsia" w:cs="宋体"/>
          <w:lang w:eastAsia="zh-CN"/>
        </w:rPr>
        <w:t>。</w:t>
      </w:r>
    </w:p>
    <w:p w14:paraId="72E71D6E">
      <w:pPr>
        <w:numPr>
          <w:ilvl w:val="0"/>
          <w:numId w:val="8"/>
        </w:numPr>
        <w:ind w:left="1260" w:hanging="420"/>
        <w:rPr>
          <w:rFonts w:ascii="宋体" w:hAnsi="宋体" w:cs="宋体"/>
        </w:rPr>
      </w:pPr>
      <w:r>
        <w:rPr>
          <w:rFonts w:hint="eastAsia" w:ascii="宋体" w:hAnsi="宋体" w:cs="宋体"/>
        </w:rPr>
        <w:t>元数据是关于数据或数据元素的数据(可能包括其数据描述)，以及关于数据拥有权、存取路径、访问权和数据易变性的数据</w:t>
      </w:r>
      <w:r>
        <w:rPr>
          <w:rFonts w:hint="eastAsia" w:cs="宋体"/>
          <w:lang w:eastAsia="zh-CN"/>
        </w:rPr>
        <w:t>。</w:t>
      </w:r>
    </w:p>
    <w:p w14:paraId="22C0D978">
      <w:pPr>
        <w:numPr>
          <w:ilvl w:val="0"/>
          <w:numId w:val="8"/>
        </w:numPr>
        <w:ind w:left="1260" w:hanging="420"/>
        <w:rPr>
          <w:rFonts w:ascii="宋体" w:hAnsi="宋体" w:cs="宋体"/>
        </w:rPr>
      </w:pPr>
      <w:r>
        <w:rPr>
          <w:rFonts w:hint="eastAsia" w:ascii="宋体" w:hAnsi="宋体" w:cs="宋体"/>
        </w:rPr>
        <w:t>权威参考数据是系统、应用软件、数据库、流程、报告或平台日志记录用来参考的特定字段的有效数据集合</w:t>
      </w:r>
      <w:r>
        <w:rPr>
          <w:rFonts w:hint="eastAsia" w:cs="宋体"/>
          <w:lang w:eastAsia="zh-CN"/>
        </w:rPr>
        <w:t>。</w:t>
      </w:r>
    </w:p>
    <w:p w14:paraId="21468702">
      <w:pPr>
        <w:numPr>
          <w:ilvl w:val="0"/>
          <w:numId w:val="8"/>
        </w:numPr>
        <w:ind w:left="1260" w:hanging="420"/>
        <w:rPr>
          <w:rFonts w:ascii="宋体" w:hAnsi="宋体" w:cs="宋体"/>
        </w:rPr>
      </w:pPr>
      <w:r>
        <w:rPr>
          <w:rFonts w:hint="eastAsia" w:ascii="宋体" w:hAnsi="宋体" w:cs="宋体"/>
        </w:rPr>
        <w:t>安全规范是安全和隐私方面的规则，包括数据权限管理、数据脱敏处理。</w:t>
      </w:r>
    </w:p>
    <w:p w14:paraId="3A3741B5">
      <w:pPr>
        <w:numPr>
          <w:ilvl w:val="0"/>
          <w:numId w:val="7"/>
        </w:numPr>
        <w:ind w:left="840" w:leftChars="200" w:hanging="420" w:hangingChars="200"/>
        <w:rPr>
          <w:rFonts w:ascii="宋体" w:hAnsi="宋体" w:cs="宋体"/>
        </w:rPr>
      </w:pPr>
      <w:r>
        <w:rPr>
          <w:rFonts w:hint="eastAsia" w:ascii="宋体" w:hAnsi="宋体" w:cs="宋体"/>
        </w:rPr>
        <w:t>完整性：按照数据规则要求，数据元素被赋予数值的程度。即数据信息是否存在缺失的状况，包括数据元素完整性和数据记录完整性；</w:t>
      </w:r>
    </w:p>
    <w:p w14:paraId="646E3698">
      <w:pPr>
        <w:numPr>
          <w:ilvl w:val="0"/>
          <w:numId w:val="7"/>
        </w:numPr>
        <w:ind w:left="840" w:leftChars="200" w:hanging="420" w:hangingChars="200"/>
        <w:rPr>
          <w:rFonts w:ascii="宋体" w:hAnsi="宋体" w:cs="宋体"/>
        </w:rPr>
      </w:pPr>
      <w:r>
        <w:rPr>
          <w:rFonts w:hint="eastAsia" w:ascii="宋体" w:hAnsi="宋体" w:cs="宋体"/>
        </w:rPr>
        <w:t>准确性：数据准确表示其所描述的真实实体(实体对象)真实值的程度，即数据记录的信息是否存在异常或错误，包括数据内容正确性、数据格式合规性、数据重复率、数据唯一性、脏数据出现率；</w:t>
      </w:r>
    </w:p>
    <w:p w14:paraId="61176417">
      <w:pPr>
        <w:numPr>
          <w:ilvl w:val="0"/>
          <w:numId w:val="7"/>
        </w:numPr>
        <w:ind w:left="840" w:leftChars="200" w:hanging="420" w:hangingChars="200"/>
        <w:rPr>
          <w:rFonts w:ascii="宋体" w:hAnsi="宋体" w:cs="宋体"/>
        </w:rPr>
      </w:pPr>
      <w:r>
        <w:rPr>
          <w:rFonts w:hint="eastAsia" w:ascii="宋体" w:hAnsi="宋体" w:cs="宋体"/>
        </w:rPr>
        <w:t>一致性：数据与其他特定上下文中使用的数据无矛盾的程度，即数据是否遵循了统一的规范数据集合是否保持了统一的格式，主要体现在数据记录的规范和数据是否符合逻辑，包括相同数据一致性和关联数据一致性；</w:t>
      </w:r>
    </w:p>
    <w:p w14:paraId="5A4536B7">
      <w:pPr>
        <w:numPr>
          <w:ilvl w:val="0"/>
          <w:numId w:val="7"/>
        </w:numPr>
        <w:ind w:left="840" w:leftChars="200" w:hanging="420" w:hangingChars="200"/>
        <w:rPr>
          <w:rFonts w:ascii="宋体" w:hAnsi="宋体" w:cs="宋体"/>
        </w:rPr>
      </w:pPr>
      <w:r>
        <w:rPr>
          <w:rFonts w:hint="eastAsia" w:ascii="宋体" w:hAnsi="宋体" w:cs="宋体"/>
        </w:rPr>
        <w:t>时效性：数据在时间变化中的正确程度，包括基于时间段的正确性、基于时间点及时性、时序性；</w:t>
      </w:r>
    </w:p>
    <w:p w14:paraId="6667E51D">
      <w:pPr>
        <w:numPr>
          <w:ilvl w:val="0"/>
          <w:numId w:val="7"/>
        </w:numPr>
        <w:ind w:left="840" w:leftChars="200" w:hanging="420" w:hangingChars="200"/>
        <w:rPr>
          <w:rFonts w:ascii="宋体" w:hAnsi="宋体" w:cs="宋体"/>
        </w:rPr>
      </w:pPr>
      <w:r>
        <w:rPr>
          <w:rFonts w:hint="eastAsia" w:ascii="宋体" w:hAnsi="宋体" w:cs="宋体"/>
        </w:rPr>
        <w:t>可访问性：数据能被访问的程度，包括可访问和可用性。</w:t>
      </w:r>
    </w:p>
    <w:p w14:paraId="6A800450">
      <w:pPr>
        <w:pStyle w:val="17"/>
      </w:pPr>
      <w:r>
        <w:rPr>
          <w:rFonts w:hint="eastAsia"/>
        </w:rPr>
        <w:t>数据质量管理过程中数据质量评价应按GB/T</w:t>
      </w:r>
      <w:r>
        <w:rPr>
          <w:rFonts w:hint="eastAsia"/>
          <w:lang w:val="en-US" w:eastAsia="zh-CN"/>
        </w:rPr>
        <w:t xml:space="preserve"> </w:t>
      </w:r>
      <w:r>
        <w:rPr>
          <w:rFonts w:hint="eastAsia"/>
        </w:rPr>
        <w:t>36344-2018的规定进行。</w:t>
      </w:r>
    </w:p>
    <w:p w14:paraId="53688088">
      <w:pPr>
        <w:pStyle w:val="17"/>
        <w:ind w:left="780" w:leftChars="200" w:hanging="360" w:hangingChars="200"/>
        <w:rPr>
          <w:rFonts w:hint="eastAsia"/>
          <w:lang w:val="en-US" w:eastAsia="zh-CN"/>
        </w:rPr>
      </w:pPr>
      <w:r>
        <w:rPr>
          <w:rFonts w:hint="eastAsia" w:ascii="黑体" w:hAnsi="黑体" w:eastAsia="黑体" w:cs="黑体"/>
          <w:sz w:val="18"/>
          <w:szCs w:val="18"/>
        </w:rPr>
        <w:t>注：</w:t>
      </w:r>
      <w:r>
        <w:rPr>
          <w:rFonts w:hint="eastAsia" w:hAnsi="宋体" w:cs="宋体"/>
          <w:sz w:val="18"/>
          <w:szCs w:val="18"/>
        </w:rPr>
        <w:t>由于工业产品生命周期同一阶段的数据具有强关联性，如产品零部件组成、工况、设备状态、维修情况、零部件补充采购等，工业产品生命周期的研发设计、生产、服务等不同环节的数据之间也需要进行关联；工业企业生产、经营流程具有较强时序性。因此，工业数据质量特性评价宜侧重于一致性和时效性。</w:t>
      </w:r>
    </w:p>
    <w:bookmarkEnd w:id="86"/>
    <w:p w14:paraId="242ACD9F">
      <w:pPr>
        <w:pStyle w:val="16"/>
        <w:spacing w:before="312" w:after="312"/>
        <w:rPr>
          <w:rFonts w:hint="default"/>
          <w:lang w:val="en-US" w:eastAsia="zh-CN"/>
        </w:rPr>
      </w:pPr>
      <w:bookmarkStart w:id="89" w:name="_Toc27332"/>
      <w:r>
        <w:rPr>
          <w:rFonts w:hint="eastAsia"/>
          <w:lang w:val="en-US" w:eastAsia="zh-CN"/>
        </w:rPr>
        <w:t>质量管理流程</w:t>
      </w:r>
      <w:bookmarkEnd w:id="89"/>
    </w:p>
    <w:p w14:paraId="548C8779">
      <w:pPr>
        <w:pStyle w:val="18"/>
        <w:bidi w:val="0"/>
        <w:rPr>
          <w:rFonts w:hint="default"/>
          <w:lang w:val="en-US" w:eastAsia="zh-CN"/>
        </w:rPr>
      </w:pPr>
      <w:bookmarkStart w:id="90" w:name="_Toc17869"/>
      <w:r>
        <w:rPr>
          <w:rFonts w:hint="eastAsia"/>
          <w:lang w:val="en-US" w:eastAsia="zh-CN"/>
        </w:rPr>
        <w:t>概述</w:t>
      </w:r>
      <w:bookmarkEnd w:id="90"/>
    </w:p>
    <w:p w14:paraId="5785DBC4">
      <w:pPr>
        <w:pStyle w:val="17"/>
        <w:rPr>
          <w:rFonts w:hint="default"/>
          <w:lang w:val="en-US" w:eastAsia="zh-CN"/>
        </w:rPr>
      </w:pPr>
      <w:r>
        <w:rPr>
          <w:rFonts w:hint="eastAsia"/>
          <w:lang w:val="en-US" w:eastAsia="zh-CN"/>
        </w:rPr>
        <w:t>工业数据质量管理应贯穿于工业数据流通的各个阶段，数据质量管理者应按照数据质量管理的要求，对影响数据质量的数据流程加以识别，制定管理措施，并实施流程控制，从数据采集源头开始疏理数据流向，识别影响数据质量的数据流程，关键流程至少应包括数据采集、数据审核、数据校验、数据更正等。</w:t>
      </w:r>
    </w:p>
    <w:p w14:paraId="2D7FF6D7">
      <w:pPr>
        <w:pStyle w:val="18"/>
        <w:bidi w:val="0"/>
        <w:rPr>
          <w:rFonts w:hint="eastAsia"/>
          <w:lang w:val="en-US" w:eastAsia="zh-CN"/>
        </w:rPr>
      </w:pPr>
      <w:bookmarkStart w:id="91" w:name="_Toc24968"/>
      <w:r>
        <w:rPr>
          <w:rFonts w:hint="eastAsia"/>
          <w:lang w:val="en-US" w:eastAsia="zh-CN"/>
        </w:rPr>
        <w:t>数据采集</w:t>
      </w:r>
      <w:bookmarkEnd w:id="91"/>
    </w:p>
    <w:p w14:paraId="3F91952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数据质量管理者应明确数据采集流程的工序、内容和岗位职责，编制程序文件和相应的作业指导文件。在数据采集工作中应满足以下要求：</w:t>
      </w:r>
    </w:p>
    <w:p w14:paraId="0A66AB5A">
      <w:pPr>
        <w:numPr>
          <w:ilvl w:val="0"/>
          <w:numId w:val="9"/>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数据事权部门应制定基础数据采集的业务规则，并负责监督在各级各类相关系统中实现；</w:t>
      </w:r>
    </w:p>
    <w:p w14:paraId="60B01702">
      <w:pPr>
        <w:numPr>
          <w:ilvl w:val="0"/>
          <w:numId w:val="9"/>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承担数据采集任务的操作人员应由数据事权部门培训考核后上岗，数据事权部门对于保证数据的规范性、完整性、准确性、一致性、时效性等质量特性具有指导的义务和责任；</w:t>
      </w:r>
    </w:p>
    <w:p w14:paraId="5C87A1D0">
      <w:pPr>
        <w:numPr>
          <w:ilvl w:val="0"/>
          <w:numId w:val="9"/>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基础数据应与相关标准所定义的数据项集合相吻合，以保证原始数据的完整性；</w:t>
      </w:r>
    </w:p>
    <w:p w14:paraId="4F387380">
      <w:pPr>
        <w:numPr>
          <w:ilvl w:val="0"/>
          <w:numId w:val="9"/>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基础数据中的数据项应和数据项名称对应的标准数据代码相吻合，且符合相关标准规定的逻辑校验关系，并且同时符合数据项名称表征的客观实体，以保证原始数据的准确性；</w:t>
      </w:r>
    </w:p>
    <w:p w14:paraId="525FA175">
      <w:pPr>
        <w:numPr>
          <w:ilvl w:val="0"/>
          <w:numId w:val="9"/>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基础数据中的数据项应和工业数据标准规定的数据属性相吻合，以保证原始数据的规范性；</w:t>
      </w:r>
    </w:p>
    <w:p w14:paraId="7B36771B">
      <w:pPr>
        <w:numPr>
          <w:ilvl w:val="0"/>
          <w:numId w:val="9"/>
        </w:numPr>
        <w:ind w:left="840" w:leftChars="200" w:hanging="420" w:hangingChars="200"/>
        <w:rPr>
          <w:rFonts w:hint="default" w:ascii="宋体" w:hAnsi="宋体" w:eastAsia="宋体" w:cs="宋体"/>
          <w:lang w:val="en-US" w:eastAsia="zh-CN"/>
        </w:rPr>
      </w:pPr>
      <w:r>
        <w:rPr>
          <w:rFonts w:hint="eastAsia" w:ascii="宋体" w:hAnsi="宋体" w:eastAsia="宋体" w:cs="宋体"/>
          <w:lang w:val="en-US" w:eastAsia="zh-CN"/>
        </w:rPr>
        <w:t>基础数据应和数据事权部门操作日志所记载的最末一次数据属性相吻合，以保证原始数据的时效性和一致性。</w:t>
      </w:r>
    </w:p>
    <w:p w14:paraId="438E82AF">
      <w:pPr>
        <w:pStyle w:val="18"/>
        <w:bidi w:val="0"/>
        <w:rPr>
          <w:rFonts w:hint="eastAsia"/>
          <w:lang w:val="en-US" w:eastAsia="zh-CN"/>
        </w:rPr>
      </w:pPr>
      <w:bookmarkStart w:id="92" w:name="_Toc6468"/>
      <w:r>
        <w:rPr>
          <w:rFonts w:hint="eastAsia"/>
          <w:lang w:val="en-US" w:eastAsia="zh-CN"/>
        </w:rPr>
        <w:t>数据审核</w:t>
      </w:r>
      <w:bookmarkEnd w:id="92"/>
    </w:p>
    <w:p w14:paraId="4FD5637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数据质量管理者应明确数据审核流程的工序、内容和岗位职责，编制程序文件和相应的作业指导文件。在数据审核工作中满足以下要求：</w:t>
      </w:r>
    </w:p>
    <w:p w14:paraId="5BC609AE">
      <w:pPr>
        <w:numPr>
          <w:ilvl w:val="0"/>
          <w:numId w:val="10"/>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数据事权部门应建立基础数据采集的审核程序，对录入系统的数据质量进行审核；</w:t>
      </w:r>
    </w:p>
    <w:p w14:paraId="0020411E">
      <w:pPr>
        <w:numPr>
          <w:ilvl w:val="0"/>
          <w:numId w:val="10"/>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在基础数据的采集过程中，数据事权部门应采用抽验方式对所录入数据的质量进行人工或计算机检验，抽验样本数量应按一定比率进行抽取，抽验样本周期和抽验样本数据跨度应分别控制在规定时间之内；</w:t>
      </w:r>
    </w:p>
    <w:p w14:paraId="74D8A365">
      <w:pPr>
        <w:numPr>
          <w:ilvl w:val="0"/>
          <w:numId w:val="10"/>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对录入数据采用了计算机自动审核方式的，应建立相应的审核制度和规程；</w:t>
      </w:r>
    </w:p>
    <w:p w14:paraId="0396E047">
      <w:pPr>
        <w:numPr>
          <w:ilvl w:val="0"/>
          <w:numId w:val="10"/>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应保持上述质量审核的全部证实性记录。</w:t>
      </w:r>
    </w:p>
    <w:p w14:paraId="00CDBCBA">
      <w:pPr>
        <w:pStyle w:val="18"/>
        <w:bidi w:val="0"/>
        <w:rPr>
          <w:rFonts w:hint="eastAsia"/>
          <w:lang w:val="en-US" w:eastAsia="zh-CN"/>
        </w:rPr>
      </w:pPr>
      <w:bookmarkStart w:id="93" w:name="_Toc23795"/>
      <w:r>
        <w:rPr>
          <w:rFonts w:hint="eastAsia"/>
          <w:lang w:val="en-US" w:eastAsia="zh-CN"/>
        </w:rPr>
        <w:t>数据校验</w:t>
      </w:r>
      <w:bookmarkEnd w:id="93"/>
    </w:p>
    <w:p w14:paraId="4F3F3DAC">
      <w:pPr>
        <w:pStyle w:val="17"/>
        <w:rPr>
          <w:rFonts w:hint="eastAsia"/>
          <w:lang w:val="en-US" w:eastAsia="zh-CN"/>
        </w:rPr>
      </w:pPr>
      <w:r>
        <w:rPr>
          <w:rFonts w:hint="eastAsia"/>
          <w:lang w:val="en-US" w:eastAsia="zh-CN"/>
        </w:rPr>
        <w:t>数据质量管理者应明确数据校验流程的工序、内容和岗位职责，编制程序文件和相应的作业指导文件。在数据校验工作中中满足以下要求：</w:t>
      </w:r>
    </w:p>
    <w:p w14:paraId="7965A7C2">
      <w:pPr>
        <w:numPr>
          <w:ilvl w:val="0"/>
          <w:numId w:val="11"/>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数据事权部门应建立在线校验程序和相关校验规程，对在线数据规范性、完整性、准确性、一致性、时效性等质量特性进行校验；</w:t>
      </w:r>
    </w:p>
    <w:p w14:paraId="65C8ACD6">
      <w:pPr>
        <w:numPr>
          <w:ilvl w:val="0"/>
          <w:numId w:val="11"/>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相关部门应设立相应的数据检验管理岗位，承担在线数据校验管理职责，对校验结果进行统一汇总及处置；</w:t>
      </w:r>
    </w:p>
    <w:p w14:paraId="225A9459">
      <w:pPr>
        <w:numPr>
          <w:ilvl w:val="0"/>
          <w:numId w:val="11"/>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有针对性地制定相应的校验方法，对不同数据库中的数据进行交叉校验；</w:t>
      </w:r>
    </w:p>
    <w:p w14:paraId="7091DEC5">
      <w:pPr>
        <w:numPr>
          <w:ilvl w:val="0"/>
          <w:numId w:val="11"/>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应保持上述数据校验的证实性记录。</w:t>
      </w:r>
    </w:p>
    <w:p w14:paraId="1817C2D3">
      <w:pPr>
        <w:pStyle w:val="18"/>
        <w:bidi w:val="0"/>
        <w:rPr>
          <w:rFonts w:hint="eastAsia"/>
          <w:lang w:val="en-US" w:eastAsia="zh-CN"/>
        </w:rPr>
      </w:pPr>
      <w:bookmarkStart w:id="94" w:name="_Toc28208"/>
      <w:r>
        <w:rPr>
          <w:rFonts w:hint="eastAsia"/>
          <w:lang w:val="en-US" w:eastAsia="zh-CN"/>
        </w:rPr>
        <w:t>数据更正</w:t>
      </w:r>
      <w:bookmarkEnd w:id="94"/>
    </w:p>
    <w:p w14:paraId="4A37ABE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数据质量管理者应明确数据更正流程的工序和内容，编制程序文件和相应的作业指导文件。在数据更正工作中满足以下要求：</w:t>
      </w:r>
    </w:p>
    <w:p w14:paraId="450D4094">
      <w:pPr>
        <w:numPr>
          <w:ilvl w:val="0"/>
          <w:numId w:val="12"/>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数据质量管理部门和数据事权部门应建立数据更正的业务规则，并负责监督、指导各级部门对业务规则的执行，对拒不执行的部门，数据质量管理部门和数据事权部门有权终止违规者的更正操作；</w:t>
      </w:r>
    </w:p>
    <w:p w14:paraId="016B01F9">
      <w:pPr>
        <w:numPr>
          <w:ilvl w:val="0"/>
          <w:numId w:val="12"/>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在基础数据审核或校验过程中，若发现质量不合格的数据，应要求采集人员重新核对，经确认后，对原录入数据进行更正；</w:t>
      </w:r>
    </w:p>
    <w:p w14:paraId="799F7A79">
      <w:pPr>
        <w:numPr>
          <w:ilvl w:val="0"/>
          <w:numId w:val="12"/>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对外部受众投诉的数据质量问题，应启动更正程序，及时更正来自外部发现的质量不合格数据；</w:t>
      </w:r>
    </w:p>
    <w:p w14:paraId="449319D1">
      <w:pPr>
        <w:numPr>
          <w:ilvl w:val="0"/>
          <w:numId w:val="12"/>
        </w:numPr>
        <w:ind w:left="840" w:leftChars="200" w:hanging="420" w:hangingChars="200"/>
        <w:rPr>
          <w:rFonts w:hint="eastAsia"/>
          <w:lang w:val="en-US" w:eastAsia="zh-CN"/>
        </w:rPr>
      </w:pPr>
      <w:r>
        <w:rPr>
          <w:rFonts w:hint="eastAsia" w:ascii="宋体" w:hAnsi="宋体" w:eastAsia="宋体" w:cs="宋体"/>
          <w:lang w:val="en-US" w:eastAsia="zh-CN"/>
        </w:rPr>
        <w:t>数据事权部门和数据质量管理部门应保持上述数据更正的证实性记录。</w:t>
      </w:r>
      <w:bookmarkStart w:id="95" w:name="_Toc10312"/>
    </w:p>
    <w:p w14:paraId="7DC7617F">
      <w:pPr>
        <w:pStyle w:val="16"/>
        <w:bidi w:val="0"/>
        <w:rPr>
          <w:rFonts w:hint="eastAsia"/>
          <w:lang w:val="en-US" w:eastAsia="zh-CN"/>
        </w:rPr>
      </w:pPr>
      <w:bookmarkStart w:id="96" w:name="_Toc3791"/>
      <w:r>
        <w:rPr>
          <w:rFonts w:hint="eastAsia"/>
          <w:lang w:val="en-US" w:eastAsia="zh-CN"/>
        </w:rPr>
        <w:t>质量管理工具</w:t>
      </w:r>
      <w:bookmarkEnd w:id="96"/>
    </w:p>
    <w:p w14:paraId="0BBFB2C9">
      <w:pPr>
        <w:pStyle w:val="18"/>
        <w:bidi w:val="0"/>
        <w:rPr>
          <w:rFonts w:hint="eastAsia"/>
          <w:lang w:val="en-US" w:eastAsia="zh-CN"/>
        </w:rPr>
      </w:pPr>
      <w:bookmarkStart w:id="97" w:name="_Toc13406"/>
      <w:r>
        <w:rPr>
          <w:rFonts w:hint="eastAsia"/>
          <w:lang w:val="en-US" w:eastAsia="zh-CN"/>
        </w:rPr>
        <w:t>数据质量管理规则</w:t>
      </w:r>
      <w:bookmarkEnd w:id="97"/>
    </w:p>
    <w:p w14:paraId="7035BE5C">
      <w:pPr>
        <w:pStyle w:val="17"/>
        <w:rPr>
          <w:rFonts w:hint="eastAsia"/>
          <w:lang w:val="en-US" w:eastAsia="zh-CN"/>
        </w:rPr>
      </w:pPr>
      <w:r>
        <w:rPr>
          <w:rFonts w:hint="eastAsia"/>
          <w:lang w:val="en-US" w:eastAsia="zh-CN"/>
        </w:rPr>
        <w:t>数据质量管理规则要求包括但不限于：</w:t>
      </w:r>
    </w:p>
    <w:p w14:paraId="76F74211">
      <w:pPr>
        <w:numPr>
          <w:ilvl w:val="0"/>
          <w:numId w:val="13"/>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应支持根据数据质量特性自定义质量维度；</w:t>
      </w:r>
    </w:p>
    <w:p w14:paraId="1929E2A3">
      <w:pPr>
        <w:numPr>
          <w:ilvl w:val="0"/>
          <w:numId w:val="13"/>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应支持关联数据标准规范，进行基础规则定义。包括但不限于空值校验、值域校验、格式校验、长度校验、精度校验、唯一性约束校验、主外键校验等；</w:t>
      </w:r>
    </w:p>
    <w:p w14:paraId="1F9AF6AC">
      <w:pPr>
        <w:numPr>
          <w:ilvl w:val="0"/>
          <w:numId w:val="13"/>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应支持根据基础规则和平台应用场景自定义业务规则；</w:t>
      </w:r>
    </w:p>
    <w:p w14:paraId="5D926A47">
      <w:pPr>
        <w:numPr>
          <w:ilvl w:val="0"/>
          <w:numId w:val="13"/>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应通过自定义SQL语句等方式完成对数据质量的检核。</w:t>
      </w:r>
    </w:p>
    <w:p w14:paraId="2E00B261">
      <w:pPr>
        <w:pStyle w:val="18"/>
        <w:bidi w:val="0"/>
        <w:rPr>
          <w:rFonts w:hint="eastAsia"/>
          <w:lang w:val="en-US" w:eastAsia="zh-CN"/>
        </w:rPr>
      </w:pPr>
      <w:bookmarkStart w:id="98" w:name="_Toc24602"/>
      <w:r>
        <w:rPr>
          <w:rFonts w:hint="eastAsia"/>
          <w:lang w:val="en-US" w:eastAsia="zh-CN"/>
        </w:rPr>
        <w:t>数据质量检测任务</w:t>
      </w:r>
      <w:bookmarkEnd w:id="98"/>
    </w:p>
    <w:p w14:paraId="01DA0C40">
      <w:pPr>
        <w:pStyle w:val="17"/>
        <w:rPr>
          <w:rFonts w:hint="eastAsia"/>
          <w:lang w:val="en-US" w:eastAsia="zh-CN"/>
        </w:rPr>
      </w:pPr>
      <w:r>
        <w:rPr>
          <w:rFonts w:hint="eastAsia"/>
          <w:lang w:val="en-US" w:eastAsia="zh-CN"/>
        </w:rPr>
        <w:t>数据质量检测任务要求包括但不限于：</w:t>
      </w:r>
    </w:p>
    <w:p w14:paraId="0A25D8CA">
      <w:pPr>
        <w:numPr>
          <w:ilvl w:val="0"/>
          <w:numId w:val="14"/>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应支持质量检测任务的创建；</w:t>
      </w:r>
    </w:p>
    <w:p w14:paraId="7C295FEE">
      <w:pPr>
        <w:numPr>
          <w:ilvl w:val="0"/>
          <w:numId w:val="14"/>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应支持检测任务调度规则的设定；</w:t>
      </w:r>
    </w:p>
    <w:p w14:paraId="1C03B845">
      <w:pPr>
        <w:numPr>
          <w:ilvl w:val="0"/>
          <w:numId w:val="14"/>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应支持手动执行与自动执行检测任务，支持手动、定时、轮询、每周、自定义等多种调度规则；</w:t>
      </w:r>
    </w:p>
    <w:p w14:paraId="4535373A">
      <w:pPr>
        <w:numPr>
          <w:ilvl w:val="0"/>
          <w:numId w:val="14"/>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应支持质量检测任务运维，查看任务执行日志、任务调度次数等；</w:t>
      </w:r>
    </w:p>
    <w:p w14:paraId="16FC2CA9">
      <w:pPr>
        <w:numPr>
          <w:ilvl w:val="0"/>
          <w:numId w:val="14"/>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应支持问题数据的查询与导出；</w:t>
      </w:r>
    </w:p>
    <w:p w14:paraId="0160AF0B">
      <w:pPr>
        <w:numPr>
          <w:ilvl w:val="0"/>
          <w:numId w:val="14"/>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应支持未达标数据的查询与导出。</w:t>
      </w:r>
    </w:p>
    <w:p w14:paraId="623FF562">
      <w:pPr>
        <w:pStyle w:val="17"/>
        <w:rPr>
          <w:rFonts w:hint="eastAsia"/>
          <w:sz w:val="18"/>
          <w:szCs w:val="18"/>
          <w:lang w:val="en-US" w:eastAsia="zh-CN"/>
        </w:rPr>
      </w:pPr>
      <w:r>
        <w:rPr>
          <w:rFonts w:hint="eastAsia" w:ascii="黑体" w:hAnsi="黑体" w:eastAsia="黑体" w:cs="黑体"/>
          <w:sz w:val="18"/>
          <w:szCs w:val="18"/>
          <w:lang w:val="en-US" w:eastAsia="zh-CN"/>
        </w:rPr>
        <w:t>注1：</w:t>
      </w:r>
      <w:r>
        <w:rPr>
          <w:rFonts w:hint="eastAsia"/>
          <w:sz w:val="18"/>
          <w:szCs w:val="18"/>
          <w:lang w:val="en-US" w:eastAsia="zh-CN"/>
        </w:rPr>
        <w:t>问题数据是指平台设置数据库表中合格率范围之外的数据。</w:t>
      </w:r>
    </w:p>
    <w:p w14:paraId="112BE7A8">
      <w:pPr>
        <w:pStyle w:val="17"/>
        <w:rPr>
          <w:rFonts w:hint="eastAsia"/>
          <w:sz w:val="18"/>
          <w:szCs w:val="18"/>
          <w:lang w:val="en-US" w:eastAsia="zh-CN"/>
        </w:rPr>
      </w:pPr>
      <w:r>
        <w:rPr>
          <w:rFonts w:hint="eastAsia" w:ascii="黑体" w:hAnsi="黑体" w:eastAsia="黑体" w:cs="黑体"/>
          <w:sz w:val="18"/>
          <w:szCs w:val="18"/>
          <w:lang w:val="en-US" w:eastAsia="zh-CN"/>
        </w:rPr>
        <w:t>注2：</w:t>
      </w:r>
      <w:r>
        <w:rPr>
          <w:rFonts w:hint="eastAsia"/>
          <w:sz w:val="18"/>
          <w:szCs w:val="18"/>
          <w:lang w:val="en-US" w:eastAsia="zh-CN"/>
        </w:rPr>
        <w:t>未达标数据是未达到平台设置的数据质量特性合格率的表中所有数据。</w:t>
      </w:r>
    </w:p>
    <w:p w14:paraId="74A6DFB5">
      <w:pPr>
        <w:pStyle w:val="18"/>
        <w:bidi w:val="0"/>
        <w:rPr>
          <w:rFonts w:hint="eastAsia"/>
          <w:lang w:val="en-US" w:eastAsia="zh-CN"/>
        </w:rPr>
      </w:pPr>
      <w:bookmarkStart w:id="99" w:name="_Toc12187"/>
      <w:r>
        <w:rPr>
          <w:rFonts w:hint="eastAsia"/>
          <w:lang w:val="en-US" w:eastAsia="zh-CN"/>
        </w:rPr>
        <w:t>数据质量监控</w:t>
      </w:r>
      <w:bookmarkEnd w:id="99"/>
    </w:p>
    <w:p w14:paraId="1CF6A2B2">
      <w:pPr>
        <w:pStyle w:val="17"/>
        <w:rPr>
          <w:rFonts w:hint="eastAsia"/>
          <w:lang w:val="en-US" w:eastAsia="zh-CN"/>
        </w:rPr>
      </w:pPr>
      <w:r>
        <w:rPr>
          <w:rFonts w:hint="eastAsia"/>
          <w:lang w:val="en-US" w:eastAsia="zh-CN"/>
        </w:rPr>
        <w:t>数据质量监控要求包括但不限于：</w:t>
      </w:r>
    </w:p>
    <w:p w14:paraId="106C95D7">
      <w:pPr>
        <w:numPr>
          <w:ilvl w:val="0"/>
          <w:numId w:val="15"/>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应支持对数据进行监控，明确数据的来源和去向；</w:t>
      </w:r>
    </w:p>
    <w:p w14:paraId="2D34E188">
      <w:pPr>
        <w:numPr>
          <w:ilvl w:val="0"/>
          <w:numId w:val="15"/>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应支持对规则校验的结果进行监控和分析，校验结果应定位到原始数据项。</w:t>
      </w:r>
    </w:p>
    <w:p w14:paraId="0BAE1A48">
      <w:pPr>
        <w:pStyle w:val="18"/>
        <w:bidi w:val="0"/>
        <w:rPr>
          <w:rFonts w:hint="eastAsia"/>
          <w:lang w:val="en-US" w:eastAsia="zh-CN"/>
        </w:rPr>
      </w:pPr>
      <w:bookmarkStart w:id="100" w:name="_Toc4394"/>
      <w:r>
        <w:rPr>
          <w:rFonts w:hint="eastAsia"/>
          <w:lang w:val="en-US" w:eastAsia="zh-CN"/>
        </w:rPr>
        <w:t>数据质量报警</w:t>
      </w:r>
      <w:bookmarkEnd w:id="100"/>
    </w:p>
    <w:p w14:paraId="1A98B908">
      <w:pPr>
        <w:pStyle w:val="17"/>
        <w:rPr>
          <w:rFonts w:hint="eastAsia"/>
          <w:lang w:val="en-US" w:eastAsia="zh-CN"/>
        </w:rPr>
      </w:pPr>
      <w:r>
        <w:rPr>
          <w:rFonts w:hint="eastAsia"/>
          <w:lang w:val="en-US" w:eastAsia="zh-CN"/>
        </w:rPr>
        <w:t>应支持问题数据的报警。</w:t>
      </w:r>
    </w:p>
    <w:p w14:paraId="57D49CD1">
      <w:pPr>
        <w:pStyle w:val="18"/>
        <w:bidi w:val="0"/>
        <w:rPr>
          <w:rFonts w:hint="eastAsia"/>
          <w:lang w:val="en-US" w:eastAsia="zh-CN"/>
        </w:rPr>
      </w:pPr>
      <w:bookmarkStart w:id="101" w:name="_Toc25524"/>
      <w:r>
        <w:rPr>
          <w:rFonts w:hint="eastAsia"/>
          <w:lang w:val="en-US" w:eastAsia="zh-CN"/>
        </w:rPr>
        <w:t>数据质量检测报告</w:t>
      </w:r>
      <w:bookmarkEnd w:id="101"/>
    </w:p>
    <w:p w14:paraId="0E7F79BB">
      <w:pPr>
        <w:pStyle w:val="17"/>
        <w:rPr>
          <w:rFonts w:hint="eastAsia"/>
          <w:lang w:val="en-US" w:eastAsia="zh-CN"/>
        </w:rPr>
      </w:pPr>
      <w:r>
        <w:rPr>
          <w:rFonts w:hint="eastAsia"/>
          <w:lang w:val="en-US" w:eastAsia="zh-CN"/>
        </w:rPr>
        <w:t>数据质量检测报告要求包括但不限于：</w:t>
      </w:r>
    </w:p>
    <w:p w14:paraId="6D66A0B2">
      <w:pPr>
        <w:numPr>
          <w:ilvl w:val="0"/>
          <w:numId w:val="16"/>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应支持对校验结果进行记录并生成检测报告，检测报告的内容包括但不限于：</w:t>
      </w:r>
    </w:p>
    <w:p w14:paraId="5A75E7E6">
      <w:pPr>
        <w:pStyle w:val="17"/>
        <w:keepNext w:val="0"/>
        <w:keepLines w:val="0"/>
        <w:pageBreakBefore w:val="0"/>
        <w:widowControl/>
        <w:numPr>
          <w:ilvl w:val="0"/>
          <w:numId w:val="17"/>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历史检测记录的数据波动，以及本次质量检测执行时间、检测结果等基本信息；</w:t>
      </w:r>
    </w:p>
    <w:p w14:paraId="73BD2747">
      <w:pPr>
        <w:pStyle w:val="17"/>
        <w:keepNext w:val="0"/>
        <w:keepLines w:val="0"/>
        <w:pageBreakBefore w:val="0"/>
        <w:widowControl/>
        <w:numPr>
          <w:ilvl w:val="0"/>
          <w:numId w:val="17"/>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对应数据的动态质量变化情况；</w:t>
      </w:r>
    </w:p>
    <w:p w14:paraId="2408CCA4">
      <w:pPr>
        <w:pStyle w:val="17"/>
        <w:keepNext w:val="0"/>
        <w:keepLines w:val="0"/>
        <w:pageBreakBefore w:val="0"/>
        <w:widowControl/>
        <w:numPr>
          <w:ilvl w:val="0"/>
          <w:numId w:val="17"/>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每项业务规则检测数据量、问题数据量、合格率等详细信息。</w:t>
      </w:r>
    </w:p>
    <w:p w14:paraId="6A52D9DC">
      <w:pPr>
        <w:numPr>
          <w:ilvl w:val="0"/>
          <w:numId w:val="16"/>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应支持在线查看每项业务规则问题数据的详情；</w:t>
      </w:r>
    </w:p>
    <w:p w14:paraId="618B6484">
      <w:pPr>
        <w:numPr>
          <w:ilvl w:val="0"/>
          <w:numId w:val="16"/>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应支持打包下载对应的问题数据；</w:t>
      </w:r>
    </w:p>
    <w:p w14:paraId="58264826">
      <w:pPr>
        <w:numPr>
          <w:ilvl w:val="0"/>
          <w:numId w:val="16"/>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应支持数据质量检测报告的查看和下载。</w:t>
      </w:r>
    </w:p>
    <w:p w14:paraId="69E1D858">
      <w:pPr>
        <w:pStyle w:val="18"/>
        <w:bidi w:val="0"/>
        <w:rPr>
          <w:rFonts w:hint="eastAsia"/>
          <w:lang w:val="en-US" w:eastAsia="zh-CN"/>
        </w:rPr>
      </w:pPr>
      <w:bookmarkStart w:id="102" w:name="_Toc4132"/>
      <w:r>
        <w:rPr>
          <w:rFonts w:hint="eastAsia"/>
          <w:lang w:val="en-US" w:eastAsia="zh-CN"/>
        </w:rPr>
        <w:t>数据质量检测报告</w:t>
      </w:r>
      <w:bookmarkEnd w:id="102"/>
      <w:r>
        <w:rPr>
          <w:rFonts w:hint="eastAsia"/>
          <w:lang w:val="en-US" w:eastAsia="zh-CN"/>
        </w:rPr>
        <w:t>分析</w:t>
      </w:r>
    </w:p>
    <w:p w14:paraId="35DA18F9">
      <w:pPr>
        <w:pStyle w:val="17"/>
        <w:rPr>
          <w:rFonts w:hint="eastAsia"/>
          <w:lang w:val="en-US" w:eastAsia="zh-CN"/>
        </w:rPr>
      </w:pPr>
      <w:r>
        <w:rPr>
          <w:rFonts w:hint="eastAsia"/>
          <w:lang w:val="en-US" w:eastAsia="zh-CN"/>
        </w:rPr>
        <w:t>数据质量检测报告分析要求包括但不限于：</w:t>
      </w:r>
    </w:p>
    <w:p w14:paraId="6C7A1664">
      <w:pPr>
        <w:numPr>
          <w:ilvl w:val="0"/>
          <w:numId w:val="18"/>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应具备对检测报告进行综合性分析的功能，包括但不限于以下内容：</w:t>
      </w:r>
    </w:p>
    <w:p w14:paraId="7E88CBC0">
      <w:pPr>
        <w:pStyle w:val="17"/>
        <w:keepNext w:val="0"/>
        <w:keepLines w:val="0"/>
        <w:pageBreakBefore w:val="0"/>
        <w:widowControl/>
        <w:numPr>
          <w:ilvl w:val="0"/>
          <w:numId w:val="19"/>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应支持通过多维度的分析报告来展示质量检测总体结果，包含检测数据来源、检测时间、综合得分、检测数据量、合格数据量、规则数目、检测资源数目等基本信息，和各个质量维度下每项的得分，以及此次检测数据的短板问题所属维度；</w:t>
      </w:r>
    </w:p>
    <w:p w14:paraId="678BA4F5">
      <w:pPr>
        <w:pStyle w:val="17"/>
        <w:keepNext w:val="0"/>
        <w:keepLines w:val="0"/>
        <w:pageBreakBefore w:val="0"/>
        <w:widowControl/>
        <w:numPr>
          <w:ilvl w:val="0"/>
          <w:numId w:val="19"/>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应支持展示每项业务规则的详细检测内容，如每项的检测数据总数、问题数据数目，合格率、问题数据分布情况等；</w:t>
      </w:r>
    </w:p>
    <w:p w14:paraId="2BA26471">
      <w:pPr>
        <w:pStyle w:val="17"/>
        <w:keepNext w:val="0"/>
        <w:keepLines w:val="0"/>
        <w:pageBreakBefore w:val="0"/>
        <w:widowControl/>
        <w:numPr>
          <w:ilvl w:val="0"/>
          <w:numId w:val="19"/>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应支持通过评分报告详情展示每项规则对应的得分情况及对应的比分权重，体现不同规则的重要程度，并对高权重质量规则进行着重分析处理；</w:t>
      </w:r>
    </w:p>
    <w:p w14:paraId="5B5DC435">
      <w:pPr>
        <w:pStyle w:val="17"/>
        <w:keepNext w:val="0"/>
        <w:keepLines w:val="0"/>
        <w:pageBreakBefore w:val="0"/>
        <w:widowControl/>
        <w:numPr>
          <w:ilvl w:val="0"/>
          <w:numId w:val="19"/>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应支持每个业务规则横向对比，提供宏观的检测报告分析，展示数据质量问题的分布。</w:t>
      </w:r>
    </w:p>
    <w:p w14:paraId="46544101">
      <w:pPr>
        <w:numPr>
          <w:ilvl w:val="0"/>
          <w:numId w:val="18"/>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应具备对检测报告进行统计分析的功能，包括但不限于以下内容：</w:t>
      </w:r>
    </w:p>
    <w:p w14:paraId="2524F53F">
      <w:pPr>
        <w:pStyle w:val="17"/>
        <w:keepNext w:val="0"/>
        <w:keepLines w:val="0"/>
        <w:pageBreakBefore w:val="0"/>
        <w:widowControl/>
        <w:numPr>
          <w:ilvl w:val="0"/>
          <w:numId w:val="20"/>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应支持通过图表的形式展示数据质量概览信息；</w:t>
      </w:r>
    </w:p>
    <w:p w14:paraId="5F1FEE26">
      <w:pPr>
        <w:pStyle w:val="17"/>
        <w:keepNext w:val="0"/>
        <w:keepLines w:val="0"/>
        <w:pageBreakBefore w:val="0"/>
        <w:widowControl/>
        <w:numPr>
          <w:ilvl w:val="0"/>
          <w:numId w:val="20"/>
        </w:numPr>
        <w:kinsoku/>
        <w:wordWrap/>
        <w:overflowPunct/>
        <w:topLinePunct w:val="0"/>
        <w:autoSpaceDE w:val="0"/>
        <w:autoSpaceDN w:val="0"/>
        <w:bidi w:val="0"/>
        <w:adjustRightInd/>
        <w:snapToGrid/>
        <w:ind w:left="1260" w:leftChars="400" w:hanging="420" w:hangingChars="200"/>
        <w:textAlignment w:val="auto"/>
        <w:rPr>
          <w:rFonts w:hint="eastAsia"/>
          <w:lang w:val="en-US" w:eastAsia="zh-CN"/>
        </w:rPr>
      </w:pPr>
      <w:r>
        <w:rPr>
          <w:rFonts w:hint="eastAsia"/>
          <w:lang w:val="en-US" w:eastAsia="zh-CN"/>
        </w:rPr>
        <w:t>应支持按照数据源目录层级，即分层分域原则，按照指定的业务层级如区域、部门、指定表等多种维度进行统计分析，并生成对应的质量趋势图。</w:t>
      </w:r>
    </w:p>
    <w:p w14:paraId="39B69984">
      <w:pPr>
        <w:pStyle w:val="18"/>
        <w:bidi w:val="0"/>
        <w:rPr>
          <w:rFonts w:hint="eastAsia"/>
          <w:lang w:val="en-US" w:eastAsia="zh-CN"/>
        </w:rPr>
      </w:pPr>
      <w:bookmarkStart w:id="103" w:name="_Toc16799"/>
      <w:r>
        <w:rPr>
          <w:rFonts w:hint="eastAsia"/>
          <w:lang w:val="en-US" w:eastAsia="zh-CN"/>
        </w:rPr>
        <w:t>数据质量整改</w:t>
      </w:r>
      <w:bookmarkEnd w:id="103"/>
    </w:p>
    <w:p w14:paraId="74A994C5">
      <w:pPr>
        <w:pStyle w:val="17"/>
        <w:rPr>
          <w:rFonts w:hint="eastAsia"/>
          <w:lang w:val="en-US" w:eastAsia="zh-CN"/>
        </w:rPr>
      </w:pPr>
      <w:r>
        <w:rPr>
          <w:rFonts w:hint="eastAsia"/>
          <w:lang w:val="en-US" w:eastAsia="zh-CN"/>
        </w:rPr>
        <w:t>数据质量整改要求包括但不限于：</w:t>
      </w:r>
    </w:p>
    <w:p w14:paraId="33E6406E">
      <w:pPr>
        <w:numPr>
          <w:ilvl w:val="0"/>
          <w:numId w:val="21"/>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应支持根据质量分析结果生成对问题数据的质量提升建议；</w:t>
      </w:r>
    </w:p>
    <w:p w14:paraId="5CE9BF65">
      <w:pPr>
        <w:numPr>
          <w:ilvl w:val="0"/>
          <w:numId w:val="21"/>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应支持数据标准化、数据清洗、数据转换和数据整合等功能，对不符合质量要求的数据进行处理，并纠正数据质量问题。</w:t>
      </w:r>
    </w:p>
    <w:p w14:paraId="613AA98E">
      <w:pPr>
        <w:pStyle w:val="18"/>
        <w:bidi w:val="0"/>
        <w:rPr>
          <w:rFonts w:hint="eastAsia"/>
          <w:lang w:val="en-US" w:eastAsia="zh-CN"/>
        </w:rPr>
      </w:pPr>
      <w:bookmarkStart w:id="104" w:name="_Toc24569"/>
      <w:r>
        <w:rPr>
          <w:rFonts w:hint="eastAsia"/>
          <w:lang w:val="en-US" w:eastAsia="zh-CN"/>
        </w:rPr>
        <w:t>数据质量跟踪</w:t>
      </w:r>
      <w:bookmarkEnd w:id="104"/>
    </w:p>
    <w:p w14:paraId="6188DCE3">
      <w:pPr>
        <w:pStyle w:val="17"/>
        <w:rPr>
          <w:rFonts w:hint="eastAsia"/>
          <w:lang w:val="en-US" w:eastAsia="zh-CN"/>
        </w:rPr>
      </w:pPr>
      <w:r>
        <w:rPr>
          <w:rFonts w:hint="eastAsia"/>
          <w:lang w:val="en-US" w:eastAsia="zh-CN"/>
        </w:rPr>
        <w:t>数据质量跟踪要求包括但不限于：</w:t>
      </w:r>
    </w:p>
    <w:p w14:paraId="59C38383">
      <w:pPr>
        <w:numPr>
          <w:ilvl w:val="0"/>
          <w:numId w:val="22"/>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应支持数据质量跟踪，记录数据质量事件的评估、初步诊断和后续行动等信息，验证数据质量提升的有效性；</w:t>
      </w:r>
    </w:p>
    <w:p w14:paraId="162A4A97">
      <w:pPr>
        <w:numPr>
          <w:ilvl w:val="0"/>
          <w:numId w:val="22"/>
        </w:numPr>
        <w:ind w:left="840" w:leftChars="200" w:hanging="420" w:hangingChars="200"/>
        <w:rPr>
          <w:rFonts w:hint="eastAsia" w:ascii="宋体" w:hAnsi="宋体" w:eastAsia="宋体" w:cs="宋体"/>
          <w:lang w:val="en-US" w:eastAsia="zh-CN"/>
        </w:rPr>
      </w:pPr>
      <w:r>
        <w:rPr>
          <w:rFonts w:hint="eastAsia" w:ascii="宋体" w:hAnsi="宋体" w:eastAsia="宋体" w:cs="宋体"/>
          <w:lang w:val="en-US" w:eastAsia="zh-CN"/>
        </w:rPr>
        <w:t>应支持对系统问题进行修正、对数据标准进行完善。</w:t>
      </w:r>
    </w:p>
    <w:p w14:paraId="0C18B4EA">
      <w:pPr>
        <w:pStyle w:val="17"/>
        <w:rPr>
          <w:rFonts w:hint="eastAsia"/>
          <w:lang w:val="en-US" w:eastAsia="zh-CN"/>
        </w:rPr>
      </w:pPr>
    </w:p>
    <w:bookmarkEnd w:id="95"/>
    <w:p w14:paraId="17B002E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color w:val="auto"/>
          <w:sz w:val="21"/>
          <w:szCs w:val="21"/>
          <w:highlight w:val="none"/>
          <w:lang w:val="en-US" w:eastAsia="zh-CN"/>
        </w:rPr>
      </w:pPr>
      <w:r>
        <w:rPr>
          <w:rFonts w:hint="default"/>
          <w:lang w:val="en-US" w:eastAsia="zh-CN"/>
        </w:rPr>
        <w:br w:type="page"/>
      </w:r>
      <w:bookmarkStart w:id="105" w:name="_Toc6461"/>
      <w:bookmarkEnd w:id="105"/>
      <w:bookmarkStart w:id="106" w:name="_Toc20731"/>
      <w:bookmarkEnd w:id="106"/>
      <w:bookmarkStart w:id="107" w:name="_Toc9036"/>
      <w:bookmarkEnd w:id="107"/>
      <w:bookmarkStart w:id="108" w:name="_Toc8281"/>
      <w:bookmarkStart w:id="109" w:name="_Toc17505"/>
      <w:bookmarkStart w:id="110" w:name="_Toc7468"/>
      <w:bookmarkStart w:id="111" w:name="_Toc30458"/>
      <w:bookmarkStart w:id="112" w:name="_Toc19222"/>
      <w:bookmarkStart w:id="113" w:name="_Toc15863"/>
      <w:bookmarkStart w:id="114" w:name="_Toc13216"/>
      <w:bookmarkStart w:id="115" w:name="_Toc21214"/>
      <w:bookmarkStart w:id="116" w:name="_Toc9975"/>
      <w:bookmarkStart w:id="117" w:name="_Toc28824"/>
      <w:bookmarkStart w:id="118" w:name="_Toc11116"/>
      <w:bookmarkStart w:id="119" w:name="_Toc30628"/>
      <w:bookmarkStart w:id="120" w:name="_Toc12198"/>
      <w:bookmarkStart w:id="121" w:name="_Toc5367"/>
      <w:bookmarkStart w:id="122" w:name="_Toc25828"/>
      <w:r>
        <w:rPr>
          <w:rStyle w:val="19"/>
          <w:rFonts w:hint="eastAsia"/>
          <w:lang w:val="en-US" w:eastAsia="zh-CN"/>
        </w:rPr>
        <w:t>参　考　文　献</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CD8670E">
      <w:pPr>
        <w:pStyle w:val="2"/>
        <w:keepNext w:val="0"/>
        <w:keepLines w:val="0"/>
        <w:pageBreakBefore w:val="0"/>
        <w:widowControl/>
        <w:numPr>
          <w:ilvl w:val="0"/>
          <w:numId w:val="23"/>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GA/T 1000-2011  公安信息化数据质量管理规范</w:t>
      </w:r>
    </w:p>
    <w:p w14:paraId="1C639ACE">
      <w:pPr>
        <w:pStyle w:val="2"/>
        <w:keepNext w:val="0"/>
        <w:keepLines w:val="0"/>
        <w:pageBreakBefore w:val="0"/>
        <w:widowControl/>
        <w:numPr>
          <w:ilvl w:val="0"/>
          <w:numId w:val="23"/>
        </w:numPr>
        <w:kinsoku/>
        <w:wordWrap/>
        <w:overflowPunct/>
        <w:topLinePunct w:val="0"/>
        <w:autoSpaceDE/>
        <w:autoSpaceDN/>
        <w:bidi w:val="0"/>
        <w:adjustRightInd/>
        <w:snapToGrid/>
        <w:spacing w:line="240" w:lineRule="auto"/>
        <w:ind w:right="0" w:righ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DB14/T 2526-2022  工业互联网综合平台数据质量管理要求</w:t>
      </w:r>
    </w:p>
    <w:p w14:paraId="25904E23">
      <w:pPr>
        <w:pStyle w:val="2"/>
        <w:keepNext w:val="0"/>
        <w:keepLines w:val="0"/>
        <w:pageBreakBefore w:val="0"/>
        <w:widowControl/>
        <w:numPr>
          <w:ilvl w:val="0"/>
          <w:numId w:val="23"/>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DB3713/T 261-2022  公共数据  开放数据质量管理规范</w:t>
      </w:r>
    </w:p>
    <w:p w14:paraId="1DC4513E">
      <w:pPr>
        <w:pStyle w:val="44"/>
        <w:framePr w:wrap="around" w:vAnchor="text" w:hAnchor="page" w:x="4160" w:y="332"/>
        <w:jc w:val="center"/>
        <w:rPr>
          <w:rFonts w:hint="default"/>
          <w:lang w:val="en-US" w:eastAsia="zh-CN"/>
        </w:rPr>
      </w:pPr>
      <w:r>
        <w:t>________________________________</w:t>
      </w:r>
    </w:p>
    <w:sectPr>
      <w:headerReference r:id="rId13" w:type="default"/>
      <w:footerReference r:id="rId15" w:type="default"/>
      <w:headerReference r:id="rId14" w:type="even"/>
      <w:footerReference r:id="rId16" w:type="even"/>
      <w:pgSz w:w="11906" w:h="16838"/>
      <w:pgMar w:top="1417" w:right="1134" w:bottom="1417" w:left="1134" w:header="851" w:footer="992" w:gutter="0"/>
      <w:paperSrc/>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54405">
    <w:pPr>
      <w:pStyle w:val="8"/>
      <w:rPr>
        <w:rFonts w:hint="eastAsia"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51AB05">
                          <w:pPr>
                            <w:pStyle w:val="8"/>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2</w:t>
                          </w:r>
                          <w:r>
                            <w:rPr>
                              <w:rFonts w:hint="eastAsia"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Fazzc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RWs83NwIAAHEEAAAOAAAAAAAAAAEAIAAAAB8BAABkcnMvZTJvRG9jLnht&#10;bFBLBQYAAAAABgAGAFkBAADIBQAAAAA=&#10;">
              <v:fill on="f" focussize="0,0"/>
              <v:stroke on="f" weight="0.5pt"/>
              <v:imagedata o:title=""/>
              <o:lock v:ext="edit" aspectratio="f"/>
              <v:textbox inset="0mm,0mm,0mm,0mm" style="mso-fit-shape-to-text:t;">
                <w:txbxContent>
                  <w:p w14:paraId="7551AB05">
                    <w:pPr>
                      <w:pStyle w:val="8"/>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  \* MERGEFORMAT </w:instrText>
                    </w:r>
                    <w:r>
                      <w:rPr>
                        <w:rFonts w:hint="eastAsia" w:ascii="宋体" w:hAnsi="宋体" w:eastAsia="宋体" w:cs="宋体"/>
                        <w:sz w:val="18"/>
                        <w:szCs w:val="18"/>
                      </w:rPr>
                      <w:fldChar w:fldCharType="separate"/>
                    </w:r>
                    <w:r>
                      <w:rPr>
                        <w:rFonts w:hint="eastAsia" w:ascii="宋体" w:hAnsi="宋体" w:eastAsia="宋体" w:cs="宋体"/>
                        <w:sz w:val="18"/>
                        <w:szCs w:val="18"/>
                      </w:rPr>
                      <w:t>2</w:t>
                    </w:r>
                    <w:r>
                      <w:rPr>
                        <w:rFonts w:hint="eastAsia" w:ascii="宋体" w:hAnsi="宋体" w:eastAsia="宋体" w:cs="宋体"/>
                        <w:sz w:val="18"/>
                        <w:szCs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57B4E">
    <w:pPr>
      <w:pStyle w:val="8"/>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AEEE4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3DAEEE4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85BB8">
    <w:pPr>
      <w:pStyle w:val="4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D3CB97B">
                          <w:pPr>
                            <w:pStyle w:val="41"/>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5MOzf4QEAAM4DAAAOAAAA&#10;AAAAAAEAIAAAAB4BAABkcnMvZTJvRG9jLnhtbFBLBQYAAAAABgAGAFkBAABxBQAAAAA=&#10;">
              <v:fill on="f" focussize="0,0"/>
              <v:stroke on="f"/>
              <v:imagedata o:title=""/>
              <o:lock v:ext="edit" aspectratio="f"/>
              <v:textbox inset="0mm,0mm,0mm,0mm" style="mso-fit-shape-to-text:t;">
                <w:txbxContent>
                  <w:p w14:paraId="6D3CB97B">
                    <w:pPr>
                      <w:pStyle w:val="41"/>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4AE7A">
    <w:pPr>
      <w:pStyle w:val="4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E494C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6CiY6AgAAcQ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pkQzhY6fvn87&#10;/fh1+vmV4A4CtdbPEPdgERm6t6bD2Az3HpeRd1c5FX/BiMAPeY8XeUUXCI+PppPpNIeLwzccgJ89&#10;PrfOh3fCKBKNgjr0L8nKDhsf+tAhJGbTZt1ImXooNWkLen31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HugomOgIAAHEEAAAOAAAAAAAAAAEAIAAAAB8BAABkcnMvZTJvRG9j&#10;LnhtbFBLBQYAAAAABgAGAFkBAADLBQAAAAA=&#10;">
              <v:fill on="f" focussize="0,0"/>
              <v:stroke on="f" weight="0.5pt"/>
              <v:imagedata o:title=""/>
              <o:lock v:ext="edit" aspectratio="f"/>
              <v:textbox inset="0mm,0mm,0mm,0mm" style="mso-fit-shape-to-text:t;">
                <w:txbxContent>
                  <w:p w14:paraId="07E494C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FAC1A">
    <w:pPr>
      <w:pStyle w:val="4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BB9912C">
                          <w:pPr>
                            <w:pStyle w:val="4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6MVFfuIBAADOAwAADgAA&#10;AAAAAAABACAAAAAeAQAAZHJzL2Uyb0RvYy54bWxQSwUGAAAAAAYABgBZAQAAcgUAAAAA&#10;">
              <v:fill on="f" focussize="0,0"/>
              <v:stroke on="f"/>
              <v:imagedata o:title=""/>
              <o:lock v:ext="edit" aspectratio="f"/>
              <v:textbox inset="0mm,0mm,0mm,0mm" style="mso-fit-shape-to-text:t;">
                <w:txbxContent>
                  <w:p w14:paraId="5BB9912C">
                    <w:pPr>
                      <w:pStyle w:val="4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D90A">
    <w:pPr>
      <w:pStyle w:val="42"/>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03D3A5">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3C03D3A5">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1BD1E">
    <w:pPr>
      <w:pStyle w:val="9"/>
      <w:pBdr>
        <w:bottom w:val="none" w:color="auto" w:sz="0" w:space="1"/>
      </w:pBdr>
      <w:rPr>
        <w:rFonts w:hint="default" w:eastAsia="宋体"/>
        <w:lang w:val="en-US" w:eastAsia="zh-CN"/>
      </w:rPr>
    </w:pPr>
    <w:r>
      <w:rPr>
        <w:rFonts w:hint="eastAsia"/>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4C673">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ECA54">
    <w:pPr>
      <w:pStyle w:val="9"/>
      <w:jc w:val="right"/>
      <w:rPr>
        <w:rFonts w:hint="default" w:eastAsia="宋体"/>
        <w:lang w:val="en-US" w:eastAsia="zh-CN"/>
      </w:rPr>
    </w:pPr>
    <w:r>
      <w:rPr>
        <w:rFonts w:hint="eastAsia" w:ascii="黑体" w:hAnsi="黑体" w:eastAsia="黑体" w:cs="黑体"/>
        <w:sz w:val="21"/>
        <w:szCs w:val="21"/>
        <w:lang w:eastAsia="zh-CN"/>
      </w:rPr>
      <w:t>DB</w:t>
    </w:r>
    <w:r>
      <w:rPr>
        <w:rFonts w:hint="eastAsia" w:ascii="黑体" w:hAnsi="黑体" w:eastAsia="黑体" w:cs="黑体"/>
        <w:sz w:val="21"/>
        <w:szCs w:val="21"/>
        <w:lang w:val="en-US" w:eastAsia="zh-CN"/>
      </w:rPr>
      <w:t>21</w:t>
    </w:r>
    <w:r>
      <w:rPr>
        <w:rFonts w:hint="eastAsia" w:ascii="黑体" w:hAnsi="黑体" w:eastAsia="黑体" w:cs="黑体"/>
        <w:sz w:val="21"/>
        <w:szCs w:val="21"/>
        <w:lang w:eastAsia="zh-CN"/>
      </w:rPr>
      <w:t>/T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96A9">
    <w:pPr>
      <w:pStyle w:val="9"/>
      <w:ind w:firstLine="6510" w:firstLineChars="3100"/>
      <w:rPr>
        <w:rFonts w:hint="eastAsia" w:ascii="黑体" w:hAnsi="黑体" w:eastAsia="黑体" w:cs="黑体"/>
        <w:sz w:val="21"/>
        <w:szCs w:val="21"/>
      </w:rPr>
    </w:pPr>
    <w:r>
      <w:rPr>
        <w:rFonts w:hint="eastAsia" w:ascii="黑体" w:hAnsi="黑体" w:eastAsia="黑体" w:cs="黑体"/>
        <w:sz w:val="21"/>
        <w:szCs w:val="21"/>
        <w:lang w:eastAsia="zh-CN"/>
      </w:rPr>
      <w:t>DBXX/T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FC156">
    <w:pPr>
      <w:pStyle w:val="39"/>
      <w:pBdr>
        <w:bottom w:val="none" w:color="auto" w:sz="0" w:space="0"/>
      </w:pBdr>
      <w:jc w:val="right"/>
      <w:rPr>
        <w:rFonts w:hint="eastAsia" w:eastAsia="黑体"/>
        <w:lang w:eastAsia="zh-CN"/>
      </w:rPr>
    </w:pPr>
    <w:r>
      <w:rPr>
        <w:rFonts w:hint="eastAsia" w:eastAsia="黑体"/>
        <w:lang w:eastAsia="zh-CN"/>
      </w:rPr>
      <w:t>DB</w:t>
    </w:r>
    <w:r>
      <w:rPr>
        <w:rFonts w:hint="eastAsia"/>
        <w:lang w:val="en-US" w:eastAsia="zh-CN"/>
      </w:rPr>
      <w:t>21</w:t>
    </w:r>
    <w:r>
      <w:rPr>
        <w:rFonts w:hint="eastAsia" w:eastAsia="黑体"/>
        <w:lang w:eastAsia="zh-CN"/>
      </w:rPr>
      <w:t>/T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60DB5">
    <w:pPr>
      <w:pStyle w:val="40"/>
      <w:pBdr>
        <w:bottom w:val="none" w:color="auto" w:sz="0" w:space="0"/>
      </w:pBdr>
      <w:jc w:val="both"/>
    </w:pPr>
    <w:r>
      <w:t>DB21/T XXXXX—20</w:t>
    </w:r>
    <w:r>
      <w:rPr>
        <w:rFonts w:hint="eastAsia"/>
      </w:rPr>
      <w:t>20</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57A09">
    <w:pPr>
      <w:pStyle w:val="39"/>
      <w:pBdr>
        <w:bottom w:val="none" w:color="auto" w:sz="0" w:space="0"/>
      </w:pBdr>
      <w:jc w:val="right"/>
      <w:rPr>
        <w:rFonts w:hint="eastAsia" w:eastAsia="黑体"/>
        <w:lang w:eastAsia="zh-CN"/>
      </w:rPr>
    </w:pPr>
    <w:r>
      <w:rPr>
        <w:rFonts w:hint="eastAsia" w:eastAsia="黑体"/>
        <w:lang w:eastAsia="zh-CN"/>
      </w:rPr>
      <w:t>DB</w:t>
    </w:r>
    <w:r>
      <w:rPr>
        <w:rFonts w:hint="eastAsia"/>
        <w:lang w:val="en-US" w:eastAsia="zh-CN"/>
      </w:rPr>
      <w:t>21</w:t>
    </w:r>
    <w:r>
      <w:rPr>
        <w:rFonts w:hint="eastAsia" w:eastAsia="黑体"/>
        <w:lang w:eastAsia="zh-CN"/>
      </w:rPr>
      <w:t>/T XXXX—XXXX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3EC76">
    <w:pPr>
      <w:pStyle w:val="40"/>
      <w:pBdr>
        <w:bottom w:val="none" w:color="auto" w:sz="0" w:space="0"/>
      </w:pBdr>
      <w:jc w:val="both"/>
    </w:pPr>
    <w:r>
      <w:t>DB21/T XXXXX—</w:t>
    </w:r>
    <w:r>
      <w:rPr>
        <w:rFonts w:hint="eastAsia"/>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55764"/>
    <w:multiLevelType w:val="singleLevel"/>
    <w:tmpl w:val="81C55764"/>
    <w:lvl w:ilvl="0" w:tentative="0">
      <w:start w:val="1"/>
      <w:numFmt w:val="lowerLetter"/>
      <w:suff w:val="space"/>
      <w:lvlText w:val="%1）"/>
      <w:lvlJc w:val="left"/>
      <w:rPr>
        <w:rFonts w:hint="default"/>
        <w:b w:val="0"/>
        <w:bCs w:val="0"/>
      </w:rPr>
    </w:lvl>
  </w:abstractNum>
  <w:abstractNum w:abstractNumId="1">
    <w:nsid w:val="8CF4C925"/>
    <w:multiLevelType w:val="singleLevel"/>
    <w:tmpl w:val="8CF4C925"/>
    <w:lvl w:ilvl="0" w:tentative="0">
      <w:start w:val="1"/>
      <w:numFmt w:val="lowerLetter"/>
      <w:suff w:val="space"/>
      <w:lvlText w:val="%1）"/>
      <w:lvlJc w:val="left"/>
      <w:rPr>
        <w:rFonts w:hint="default"/>
        <w:b w:val="0"/>
        <w:bCs w:val="0"/>
      </w:rPr>
    </w:lvl>
  </w:abstractNum>
  <w:abstractNum w:abstractNumId="2">
    <w:nsid w:val="8E330C46"/>
    <w:multiLevelType w:val="multilevel"/>
    <w:tmpl w:val="8E330C46"/>
    <w:lvl w:ilvl="0" w:tentative="0">
      <w:start w:val="1"/>
      <w:numFmt w:val="upperLetter"/>
      <w:pStyle w:val="46"/>
      <w:suff w:val="nothing"/>
      <w:lvlText w:val="附　录　%1"/>
      <w:lvlJc w:val="left"/>
      <w:pPr>
        <w:tabs>
          <w:tab w:val="left" w:pos="420"/>
        </w:tabs>
        <w:ind w:left="432" w:hanging="432"/>
      </w:pPr>
      <w:rPr>
        <w:rFonts w:hint="default" w:ascii="黑体" w:hAnsi="黑体" w:eastAsia="黑体" w:cs="黑体"/>
        <w:sz w:val="21"/>
        <w:szCs w:val="21"/>
      </w:rPr>
    </w:lvl>
    <w:lvl w:ilvl="1" w:tentative="0">
      <w:start w:val="1"/>
      <w:numFmt w:val="decimal"/>
      <w:suff w:val="nothing"/>
      <w:lvlText w:val="%1.%2　"/>
      <w:lvlJc w:val="left"/>
      <w:pPr>
        <w:tabs>
          <w:tab w:val="left" w:pos="420"/>
        </w:tabs>
        <w:ind w:left="575" w:hanging="575"/>
      </w:pPr>
      <w:rPr>
        <w:rFonts w:hint="default" w:ascii="黑体" w:hAnsi="黑体" w:eastAsia="黑体" w:cs="黑体"/>
        <w:sz w:val="21"/>
        <w:szCs w:val="21"/>
      </w:rPr>
    </w:lvl>
    <w:lvl w:ilvl="2" w:tentative="0">
      <w:start w:val="1"/>
      <w:numFmt w:val="decimal"/>
      <w:suff w:val="nothing"/>
      <w:lvlText w:val="%1.%2.%3　"/>
      <w:lvlJc w:val="left"/>
      <w:pPr>
        <w:tabs>
          <w:tab w:val="left" w:pos="420"/>
        </w:tabs>
        <w:ind w:left="720" w:hanging="720"/>
      </w:pPr>
      <w:rPr>
        <w:rFonts w:hint="default" w:ascii="黑体" w:hAnsi="黑体" w:eastAsia="黑体" w:cs="黑体"/>
        <w:sz w:val="21"/>
        <w:szCs w:val="21"/>
      </w:rPr>
    </w:lvl>
    <w:lvl w:ilvl="3" w:tentative="0">
      <w:start w:val="1"/>
      <w:numFmt w:val="decimal"/>
      <w:suff w:val="nothing"/>
      <w:lvlText w:val="%1.%2.%3.%4　"/>
      <w:lvlJc w:val="left"/>
      <w:pPr>
        <w:tabs>
          <w:tab w:val="left" w:pos="0"/>
        </w:tabs>
        <w:ind w:left="864" w:hanging="864"/>
      </w:pPr>
      <w:rPr>
        <w:rFonts w:hint="default" w:ascii="黑体" w:hAnsi="黑体" w:eastAsia="黑体" w:cs="黑体"/>
        <w:sz w:val="21"/>
        <w:szCs w:val="21"/>
      </w:rPr>
    </w:lvl>
    <w:lvl w:ilvl="4" w:tentative="0">
      <w:start w:val="1"/>
      <w:numFmt w:val="decimal"/>
      <w:suff w:val="nothing"/>
      <w:lvlText w:val="%1.%2.%3.%4.%5　"/>
      <w:lvlJc w:val="left"/>
      <w:pPr>
        <w:tabs>
          <w:tab w:val="left" w:pos="420"/>
        </w:tabs>
        <w:ind w:left="1008" w:hanging="1008"/>
      </w:pPr>
      <w:rPr>
        <w:rFonts w:hint="default" w:ascii="宋体" w:hAnsi="宋体" w:eastAsia="宋体" w:cs="宋体"/>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96A549E8"/>
    <w:multiLevelType w:val="singleLevel"/>
    <w:tmpl w:val="96A549E8"/>
    <w:lvl w:ilvl="0" w:tentative="0">
      <w:start w:val="1"/>
      <w:numFmt w:val="lowerLetter"/>
      <w:suff w:val="space"/>
      <w:lvlText w:val="%1）"/>
      <w:lvlJc w:val="left"/>
    </w:lvl>
  </w:abstractNum>
  <w:abstractNum w:abstractNumId="4">
    <w:nsid w:val="9F1BEE9E"/>
    <w:multiLevelType w:val="singleLevel"/>
    <w:tmpl w:val="9F1BEE9E"/>
    <w:lvl w:ilvl="0" w:tentative="0">
      <w:start w:val="1"/>
      <w:numFmt w:val="decimal"/>
      <w:suff w:val="space"/>
      <w:lvlText w:val="%1）"/>
      <w:lvlJc w:val="left"/>
    </w:lvl>
  </w:abstractNum>
  <w:abstractNum w:abstractNumId="5">
    <w:nsid w:val="A61A7843"/>
    <w:multiLevelType w:val="multilevel"/>
    <w:tmpl w:val="A61A7843"/>
    <w:lvl w:ilvl="0" w:tentative="0">
      <w:start w:val="1"/>
      <w:numFmt w:val="upperLetter"/>
      <w:suff w:val="nothing"/>
      <w:lvlText w:val="附　录　%1"/>
      <w:lvlJc w:val="left"/>
      <w:pPr>
        <w:tabs>
          <w:tab w:val="left" w:pos="0"/>
        </w:tabs>
        <w:ind w:left="432" w:hanging="432"/>
      </w:pPr>
      <w:rPr>
        <w:rFonts w:hint="default" w:ascii="黑体" w:hAnsi="黑体" w:eastAsia="黑体" w:cs="黑体"/>
        <w:sz w:val="21"/>
        <w:szCs w:val="21"/>
      </w:rPr>
    </w:lvl>
    <w:lvl w:ilvl="1" w:tentative="0">
      <w:start w:val="1"/>
      <w:numFmt w:val="decimal"/>
      <w:pStyle w:val="49"/>
      <w:suff w:val="nothing"/>
      <w:lvlText w:val="%1.%2　"/>
      <w:lvlJc w:val="left"/>
      <w:pPr>
        <w:tabs>
          <w:tab w:val="left" w:pos="420"/>
        </w:tabs>
        <w:ind w:left="575" w:hanging="575"/>
      </w:pPr>
      <w:rPr>
        <w:rFonts w:hint="default" w:ascii="黑体" w:hAnsi="黑体" w:eastAsia="黑体" w:cs="黑体"/>
        <w:sz w:val="21"/>
        <w:szCs w:val="21"/>
      </w:rPr>
    </w:lvl>
    <w:lvl w:ilvl="2" w:tentative="0">
      <w:start w:val="1"/>
      <w:numFmt w:val="decimal"/>
      <w:suff w:val="nothing"/>
      <w:lvlText w:val="%1.%2.%3　"/>
      <w:lvlJc w:val="left"/>
      <w:pPr>
        <w:tabs>
          <w:tab w:val="left" w:pos="420"/>
        </w:tabs>
        <w:ind w:left="720" w:hanging="720"/>
      </w:pPr>
      <w:rPr>
        <w:rFonts w:hint="default" w:ascii="黑体" w:hAnsi="黑体" w:eastAsia="黑体" w:cs="黑体"/>
        <w:sz w:val="21"/>
        <w:szCs w:val="21"/>
      </w:rPr>
    </w:lvl>
    <w:lvl w:ilvl="3" w:tentative="0">
      <w:start w:val="1"/>
      <w:numFmt w:val="decimal"/>
      <w:suff w:val="nothing"/>
      <w:lvlText w:val="%1.%2.%3.%4　"/>
      <w:lvlJc w:val="left"/>
      <w:pPr>
        <w:tabs>
          <w:tab w:val="left" w:pos="0"/>
        </w:tabs>
        <w:ind w:left="864" w:hanging="864"/>
      </w:pPr>
      <w:rPr>
        <w:rFonts w:hint="default" w:ascii="黑体" w:hAnsi="黑体" w:eastAsia="黑体" w:cs="黑体"/>
        <w:sz w:val="21"/>
        <w:szCs w:val="21"/>
      </w:rPr>
    </w:lvl>
    <w:lvl w:ilvl="4" w:tentative="0">
      <w:start w:val="1"/>
      <w:numFmt w:val="decimal"/>
      <w:suff w:val="nothing"/>
      <w:lvlText w:val="%1.%2.%3.%4.%5　"/>
      <w:lvlJc w:val="left"/>
      <w:pPr>
        <w:tabs>
          <w:tab w:val="left" w:pos="420"/>
        </w:tabs>
        <w:ind w:left="1008" w:hanging="1008"/>
      </w:pPr>
      <w:rPr>
        <w:rFonts w:hint="default" w:ascii="宋体" w:hAnsi="宋体" w:eastAsia="宋体" w:cs="宋体"/>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AFA4EEF1"/>
    <w:multiLevelType w:val="singleLevel"/>
    <w:tmpl w:val="AFA4EEF1"/>
    <w:lvl w:ilvl="0" w:tentative="0">
      <w:start w:val="1"/>
      <w:numFmt w:val="lowerLetter"/>
      <w:suff w:val="space"/>
      <w:lvlText w:val="%1）"/>
      <w:lvlJc w:val="left"/>
      <w:rPr>
        <w:rFonts w:hint="default"/>
        <w:b w:val="0"/>
        <w:bCs w:val="0"/>
      </w:rPr>
    </w:lvl>
  </w:abstractNum>
  <w:abstractNum w:abstractNumId="7">
    <w:nsid w:val="B80AECD2"/>
    <w:multiLevelType w:val="singleLevel"/>
    <w:tmpl w:val="B80AECD2"/>
    <w:lvl w:ilvl="0" w:tentative="0">
      <w:start w:val="1"/>
      <w:numFmt w:val="lowerLetter"/>
      <w:suff w:val="space"/>
      <w:lvlText w:val="%1）"/>
      <w:lvlJc w:val="left"/>
      <w:rPr>
        <w:rFonts w:hint="default"/>
        <w:b w:val="0"/>
        <w:bCs w:val="0"/>
      </w:rPr>
    </w:lvl>
  </w:abstractNum>
  <w:abstractNum w:abstractNumId="8">
    <w:nsid w:val="C809B5A5"/>
    <w:multiLevelType w:val="singleLevel"/>
    <w:tmpl w:val="C809B5A5"/>
    <w:lvl w:ilvl="0" w:tentative="0">
      <w:start w:val="1"/>
      <w:numFmt w:val="decimal"/>
      <w:suff w:val="space"/>
      <w:lvlText w:val="%1）"/>
      <w:lvlJc w:val="left"/>
    </w:lvl>
  </w:abstractNum>
  <w:abstractNum w:abstractNumId="9">
    <w:nsid w:val="C8A6D1E5"/>
    <w:multiLevelType w:val="multilevel"/>
    <w:tmpl w:val="C8A6D1E5"/>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0"/>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21"/>
      <w:suff w:val="nothing"/>
      <w:lvlText w:val="%1.%2.%3.%4　"/>
      <w:lvlJc w:val="left"/>
      <w:pPr>
        <w:tabs>
          <w:tab w:val="left" w:pos="0"/>
        </w:tabs>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D484B417"/>
    <w:multiLevelType w:val="singleLevel"/>
    <w:tmpl w:val="D484B417"/>
    <w:lvl w:ilvl="0" w:tentative="0">
      <w:start w:val="1"/>
      <w:numFmt w:val="lowerLetter"/>
      <w:suff w:val="space"/>
      <w:lvlText w:val="%1）"/>
      <w:lvlJc w:val="left"/>
    </w:lvl>
  </w:abstractNum>
  <w:abstractNum w:abstractNumId="11">
    <w:nsid w:val="E1992471"/>
    <w:multiLevelType w:val="singleLevel"/>
    <w:tmpl w:val="E1992471"/>
    <w:lvl w:ilvl="0" w:tentative="0">
      <w:start w:val="1"/>
      <w:numFmt w:val="lowerLetter"/>
      <w:suff w:val="space"/>
      <w:lvlText w:val="%1）"/>
      <w:lvlJc w:val="left"/>
      <w:rPr>
        <w:rFonts w:hint="default"/>
        <w:b w:val="0"/>
        <w:bCs w:val="0"/>
      </w:rPr>
    </w:lvl>
  </w:abstractNum>
  <w:abstractNum w:abstractNumId="12">
    <w:nsid w:val="E3245373"/>
    <w:multiLevelType w:val="singleLevel"/>
    <w:tmpl w:val="E3245373"/>
    <w:lvl w:ilvl="0" w:tentative="0">
      <w:start w:val="1"/>
      <w:numFmt w:val="decimal"/>
      <w:lvlText w:val="%1)"/>
      <w:lvlJc w:val="left"/>
      <w:pPr>
        <w:ind w:left="425" w:hanging="425"/>
      </w:pPr>
      <w:rPr>
        <w:rFonts w:hint="default"/>
      </w:rPr>
    </w:lvl>
  </w:abstractNum>
  <w:abstractNum w:abstractNumId="13">
    <w:nsid w:val="F7812D93"/>
    <w:multiLevelType w:val="singleLevel"/>
    <w:tmpl w:val="F7812D93"/>
    <w:lvl w:ilvl="0" w:tentative="0">
      <w:start w:val="1"/>
      <w:numFmt w:val="lowerLetter"/>
      <w:suff w:val="space"/>
      <w:lvlText w:val="%1）"/>
      <w:lvlJc w:val="left"/>
      <w:rPr>
        <w:rFonts w:hint="default"/>
        <w:b w:val="0"/>
        <w:bCs w:val="0"/>
      </w:rPr>
    </w:lvl>
  </w:abstractNum>
  <w:abstractNum w:abstractNumId="14">
    <w:nsid w:val="169AF0CD"/>
    <w:multiLevelType w:val="singleLevel"/>
    <w:tmpl w:val="169AF0CD"/>
    <w:lvl w:ilvl="0" w:tentative="0">
      <w:start w:val="1"/>
      <w:numFmt w:val="lowerLetter"/>
      <w:suff w:val="space"/>
      <w:lvlText w:val="%1）"/>
      <w:lvlJc w:val="left"/>
      <w:rPr>
        <w:rFonts w:hint="default"/>
        <w:b w:val="0"/>
        <w:bCs w:val="0"/>
      </w:rPr>
    </w:lvl>
  </w:abstractNum>
  <w:abstractNum w:abstractNumId="15">
    <w:nsid w:val="4676837A"/>
    <w:multiLevelType w:val="singleLevel"/>
    <w:tmpl w:val="4676837A"/>
    <w:lvl w:ilvl="0" w:tentative="0">
      <w:start w:val="1"/>
      <w:numFmt w:val="lowerLetter"/>
      <w:suff w:val="space"/>
      <w:lvlText w:val="%1）"/>
      <w:lvlJc w:val="left"/>
      <w:rPr>
        <w:rFonts w:hint="default"/>
        <w:b w:val="0"/>
        <w:bCs w:val="0"/>
      </w:rPr>
    </w:lvl>
  </w:abstractNum>
  <w:abstractNum w:abstractNumId="16">
    <w:nsid w:val="4BD5A64A"/>
    <w:multiLevelType w:val="singleLevel"/>
    <w:tmpl w:val="4BD5A64A"/>
    <w:lvl w:ilvl="0" w:tentative="0">
      <w:start w:val="1"/>
      <w:numFmt w:val="decimal"/>
      <w:suff w:val="space"/>
      <w:lvlText w:val="%1）"/>
      <w:lvlJc w:val="left"/>
    </w:lvl>
  </w:abstractNum>
  <w:abstractNum w:abstractNumId="17">
    <w:nsid w:val="4BEBBEAF"/>
    <w:multiLevelType w:val="singleLevel"/>
    <w:tmpl w:val="4BEBBEAF"/>
    <w:lvl w:ilvl="0" w:tentative="0">
      <w:start w:val="1"/>
      <w:numFmt w:val="lowerLetter"/>
      <w:suff w:val="space"/>
      <w:lvlText w:val="%1）"/>
      <w:lvlJc w:val="left"/>
      <w:rPr>
        <w:rFonts w:hint="default"/>
        <w:b w:val="0"/>
        <w:bCs w:val="0"/>
      </w:rPr>
    </w:lvl>
  </w:abstractNum>
  <w:abstractNum w:abstractNumId="18">
    <w:nsid w:val="53BDF6DB"/>
    <w:multiLevelType w:val="singleLevel"/>
    <w:tmpl w:val="53BDF6DB"/>
    <w:lvl w:ilvl="0" w:tentative="0">
      <w:start w:val="1"/>
      <w:numFmt w:val="lowerLetter"/>
      <w:suff w:val="space"/>
      <w:lvlText w:val="%1）"/>
      <w:lvlJc w:val="left"/>
      <w:rPr>
        <w:rFonts w:hint="default"/>
        <w:b w:val="0"/>
        <w:bCs w:val="0"/>
      </w:rPr>
    </w:lvl>
  </w:abstractNum>
  <w:abstractNum w:abstractNumId="19">
    <w:nsid w:val="6278D62F"/>
    <w:multiLevelType w:val="singleLevel"/>
    <w:tmpl w:val="6278D62F"/>
    <w:lvl w:ilvl="0" w:tentative="0">
      <w:start w:val="1"/>
      <w:numFmt w:val="decimal"/>
      <w:suff w:val="nothing"/>
      <w:lvlText w:val="[%1]　"/>
      <w:lvlJc w:val="left"/>
    </w:lvl>
  </w:abstractNum>
  <w:abstractNum w:abstractNumId="20">
    <w:nsid w:val="689DE470"/>
    <w:multiLevelType w:val="singleLevel"/>
    <w:tmpl w:val="689DE470"/>
    <w:lvl w:ilvl="0" w:tentative="0">
      <w:start w:val="1"/>
      <w:numFmt w:val="lowerLetter"/>
      <w:suff w:val="space"/>
      <w:lvlText w:val="%1）"/>
      <w:lvlJc w:val="left"/>
      <w:rPr>
        <w:rFonts w:hint="default"/>
        <w:b w:val="0"/>
        <w:bCs w:val="0"/>
      </w:rPr>
    </w:lvl>
  </w:abstractNum>
  <w:abstractNum w:abstractNumId="21">
    <w:nsid w:val="6AC25856"/>
    <w:multiLevelType w:val="multilevel"/>
    <w:tmpl w:val="6AC25856"/>
    <w:lvl w:ilvl="0" w:tentative="0">
      <w:start w:val="1"/>
      <w:numFmt w:val="lowerLetter"/>
      <w:pStyle w:val="4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6FCD321C"/>
    <w:multiLevelType w:val="singleLevel"/>
    <w:tmpl w:val="6FCD321C"/>
    <w:lvl w:ilvl="0" w:tentative="0">
      <w:start w:val="1"/>
      <w:numFmt w:val="lowerLetter"/>
      <w:suff w:val="space"/>
      <w:lvlText w:val="%1）"/>
      <w:lvlJc w:val="left"/>
      <w:rPr>
        <w:rFonts w:hint="default"/>
        <w:b w:val="0"/>
        <w:bCs w:val="0"/>
      </w:rPr>
    </w:lvl>
  </w:abstractNum>
  <w:num w:numId="1">
    <w:abstractNumId w:val="9"/>
  </w:num>
  <w:num w:numId="2">
    <w:abstractNumId w:val="21"/>
  </w:num>
  <w:num w:numId="3">
    <w:abstractNumId w:val="2"/>
  </w:num>
  <w:num w:numId="4">
    <w:abstractNumId w:val="5"/>
  </w:num>
  <w:num w:numId="5">
    <w:abstractNumId w:val="10"/>
  </w:num>
  <w:num w:numId="6">
    <w:abstractNumId w:val="3"/>
  </w:num>
  <w:num w:numId="7">
    <w:abstractNumId w:val="22"/>
  </w:num>
  <w:num w:numId="8">
    <w:abstractNumId w:val="12"/>
  </w:num>
  <w:num w:numId="9">
    <w:abstractNumId w:val="0"/>
  </w:num>
  <w:num w:numId="10">
    <w:abstractNumId w:val="13"/>
  </w:num>
  <w:num w:numId="11">
    <w:abstractNumId w:val="20"/>
  </w:num>
  <w:num w:numId="12">
    <w:abstractNumId w:val="14"/>
  </w:num>
  <w:num w:numId="13">
    <w:abstractNumId w:val="1"/>
  </w:num>
  <w:num w:numId="14">
    <w:abstractNumId w:val="7"/>
  </w:num>
  <w:num w:numId="15">
    <w:abstractNumId w:val="15"/>
  </w:num>
  <w:num w:numId="16">
    <w:abstractNumId w:val="11"/>
  </w:num>
  <w:num w:numId="17">
    <w:abstractNumId w:val="4"/>
  </w:num>
  <w:num w:numId="18">
    <w:abstractNumId w:val="17"/>
  </w:num>
  <w:num w:numId="19">
    <w:abstractNumId w:val="16"/>
  </w:num>
  <w:num w:numId="20">
    <w:abstractNumId w:val="8"/>
  </w:num>
  <w:num w:numId="21">
    <w:abstractNumId w:val="18"/>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mMmU2YTI0NDY2ZTBmZGRmNjFiYzg1Y2E3NTRhYWQifQ=="/>
  </w:docVars>
  <w:rsids>
    <w:rsidRoot w:val="00000000"/>
    <w:rsid w:val="000A51EB"/>
    <w:rsid w:val="00DA072E"/>
    <w:rsid w:val="01832FEA"/>
    <w:rsid w:val="021251DC"/>
    <w:rsid w:val="0270686F"/>
    <w:rsid w:val="02FB26B6"/>
    <w:rsid w:val="03060F81"/>
    <w:rsid w:val="030A0A85"/>
    <w:rsid w:val="038A57E4"/>
    <w:rsid w:val="04446205"/>
    <w:rsid w:val="04940A72"/>
    <w:rsid w:val="04D01847"/>
    <w:rsid w:val="04DF7CDC"/>
    <w:rsid w:val="050114B1"/>
    <w:rsid w:val="05574797"/>
    <w:rsid w:val="058E2590"/>
    <w:rsid w:val="06677633"/>
    <w:rsid w:val="078F7797"/>
    <w:rsid w:val="07A54926"/>
    <w:rsid w:val="07DE23FA"/>
    <w:rsid w:val="07E9355D"/>
    <w:rsid w:val="07F95559"/>
    <w:rsid w:val="085E4E22"/>
    <w:rsid w:val="08B05F66"/>
    <w:rsid w:val="08BD6586"/>
    <w:rsid w:val="0927764E"/>
    <w:rsid w:val="09630EDC"/>
    <w:rsid w:val="097E4BB9"/>
    <w:rsid w:val="09884AD3"/>
    <w:rsid w:val="09A3577C"/>
    <w:rsid w:val="0A046B64"/>
    <w:rsid w:val="0A5E0832"/>
    <w:rsid w:val="0A713694"/>
    <w:rsid w:val="0A8315E8"/>
    <w:rsid w:val="0B291CB1"/>
    <w:rsid w:val="0B4659CE"/>
    <w:rsid w:val="0BE81B6C"/>
    <w:rsid w:val="0C7F7469"/>
    <w:rsid w:val="0C9E047D"/>
    <w:rsid w:val="0CC023AC"/>
    <w:rsid w:val="0D274271"/>
    <w:rsid w:val="0D336E17"/>
    <w:rsid w:val="0DAD6BC9"/>
    <w:rsid w:val="0DBE7D67"/>
    <w:rsid w:val="0E68540D"/>
    <w:rsid w:val="0E6B25E0"/>
    <w:rsid w:val="0F42031C"/>
    <w:rsid w:val="0F71790E"/>
    <w:rsid w:val="0F927241"/>
    <w:rsid w:val="0FE31D28"/>
    <w:rsid w:val="0FE97C61"/>
    <w:rsid w:val="10B908E8"/>
    <w:rsid w:val="10BE2E9B"/>
    <w:rsid w:val="10E5137A"/>
    <w:rsid w:val="10FD7E17"/>
    <w:rsid w:val="1102192B"/>
    <w:rsid w:val="110330BE"/>
    <w:rsid w:val="11880CFD"/>
    <w:rsid w:val="118C7CE1"/>
    <w:rsid w:val="119A7465"/>
    <w:rsid w:val="11BA18B5"/>
    <w:rsid w:val="12154D3D"/>
    <w:rsid w:val="1255782F"/>
    <w:rsid w:val="125B4710"/>
    <w:rsid w:val="127C6F3D"/>
    <w:rsid w:val="12BA7BB1"/>
    <w:rsid w:val="12BE52A0"/>
    <w:rsid w:val="1319648C"/>
    <w:rsid w:val="13427DB4"/>
    <w:rsid w:val="1352282D"/>
    <w:rsid w:val="136441CE"/>
    <w:rsid w:val="13973CC4"/>
    <w:rsid w:val="14445DAD"/>
    <w:rsid w:val="14A30D26"/>
    <w:rsid w:val="14B96C9B"/>
    <w:rsid w:val="14D94748"/>
    <w:rsid w:val="14E30599"/>
    <w:rsid w:val="150317C5"/>
    <w:rsid w:val="15A5287C"/>
    <w:rsid w:val="15FF5FFC"/>
    <w:rsid w:val="161A0B74"/>
    <w:rsid w:val="166718EF"/>
    <w:rsid w:val="1668008F"/>
    <w:rsid w:val="16812791"/>
    <w:rsid w:val="16BE099A"/>
    <w:rsid w:val="16DC22CD"/>
    <w:rsid w:val="16F05D79"/>
    <w:rsid w:val="172A3039"/>
    <w:rsid w:val="176237F0"/>
    <w:rsid w:val="17E913A6"/>
    <w:rsid w:val="181E2303"/>
    <w:rsid w:val="18A62B93"/>
    <w:rsid w:val="18B67417"/>
    <w:rsid w:val="18CA1E97"/>
    <w:rsid w:val="18D3325C"/>
    <w:rsid w:val="194505FE"/>
    <w:rsid w:val="197B097D"/>
    <w:rsid w:val="199D3F96"/>
    <w:rsid w:val="1A1D50D7"/>
    <w:rsid w:val="1A6D4ABE"/>
    <w:rsid w:val="1AA10847"/>
    <w:rsid w:val="1AAE3F81"/>
    <w:rsid w:val="1B0702A6"/>
    <w:rsid w:val="1C3A79A2"/>
    <w:rsid w:val="1D51661C"/>
    <w:rsid w:val="1D6E5A13"/>
    <w:rsid w:val="1DB16F65"/>
    <w:rsid w:val="1E5D0CBB"/>
    <w:rsid w:val="1E5E4A6A"/>
    <w:rsid w:val="1E6C2189"/>
    <w:rsid w:val="1F110861"/>
    <w:rsid w:val="1F26058A"/>
    <w:rsid w:val="1F274B4E"/>
    <w:rsid w:val="1F356A1F"/>
    <w:rsid w:val="1F5570C1"/>
    <w:rsid w:val="1F9E2816"/>
    <w:rsid w:val="1FB74CF6"/>
    <w:rsid w:val="1FBC2C9C"/>
    <w:rsid w:val="1FCC441A"/>
    <w:rsid w:val="1FD86B67"/>
    <w:rsid w:val="20135C1B"/>
    <w:rsid w:val="2040567B"/>
    <w:rsid w:val="20CE51B6"/>
    <w:rsid w:val="20E97AC1"/>
    <w:rsid w:val="21690B86"/>
    <w:rsid w:val="21844799"/>
    <w:rsid w:val="218F1487"/>
    <w:rsid w:val="219914E7"/>
    <w:rsid w:val="219A4F8F"/>
    <w:rsid w:val="224455F9"/>
    <w:rsid w:val="24290AE3"/>
    <w:rsid w:val="248A3369"/>
    <w:rsid w:val="2536418B"/>
    <w:rsid w:val="25CC33E0"/>
    <w:rsid w:val="260E1D77"/>
    <w:rsid w:val="26917128"/>
    <w:rsid w:val="26CC7C68"/>
    <w:rsid w:val="271E248E"/>
    <w:rsid w:val="2778394C"/>
    <w:rsid w:val="277F117F"/>
    <w:rsid w:val="27934C2A"/>
    <w:rsid w:val="27B626C7"/>
    <w:rsid w:val="282B2D9B"/>
    <w:rsid w:val="28B70993"/>
    <w:rsid w:val="28F811E9"/>
    <w:rsid w:val="294D7958"/>
    <w:rsid w:val="29A0362E"/>
    <w:rsid w:val="29BC5914"/>
    <w:rsid w:val="2AB72193"/>
    <w:rsid w:val="2AF83D24"/>
    <w:rsid w:val="2B223E4E"/>
    <w:rsid w:val="2B2A751A"/>
    <w:rsid w:val="2B42499D"/>
    <w:rsid w:val="2B555710"/>
    <w:rsid w:val="2B791A12"/>
    <w:rsid w:val="2BEB171C"/>
    <w:rsid w:val="2C071743"/>
    <w:rsid w:val="2C4F1A98"/>
    <w:rsid w:val="2C6E275C"/>
    <w:rsid w:val="2C832700"/>
    <w:rsid w:val="2C8E4A32"/>
    <w:rsid w:val="2C974627"/>
    <w:rsid w:val="2CBC1D1A"/>
    <w:rsid w:val="2D960FD0"/>
    <w:rsid w:val="2DB91495"/>
    <w:rsid w:val="2E8C5F2F"/>
    <w:rsid w:val="2E984EEC"/>
    <w:rsid w:val="2EA72D69"/>
    <w:rsid w:val="2EBA2A9C"/>
    <w:rsid w:val="2EED10C4"/>
    <w:rsid w:val="2F1116B3"/>
    <w:rsid w:val="2F191EB9"/>
    <w:rsid w:val="2F206CA8"/>
    <w:rsid w:val="2F5D3AF9"/>
    <w:rsid w:val="2F7E1D1C"/>
    <w:rsid w:val="2F927575"/>
    <w:rsid w:val="2FD46965"/>
    <w:rsid w:val="300D4E4E"/>
    <w:rsid w:val="301F34FF"/>
    <w:rsid w:val="30202DD3"/>
    <w:rsid w:val="3072727C"/>
    <w:rsid w:val="30801AC4"/>
    <w:rsid w:val="30837A14"/>
    <w:rsid w:val="308B0B94"/>
    <w:rsid w:val="30CB557B"/>
    <w:rsid w:val="311A3CC6"/>
    <w:rsid w:val="311F12DD"/>
    <w:rsid w:val="31584FB6"/>
    <w:rsid w:val="31E61302"/>
    <w:rsid w:val="32537490"/>
    <w:rsid w:val="3272469C"/>
    <w:rsid w:val="33250631"/>
    <w:rsid w:val="33AF6948"/>
    <w:rsid w:val="33D175A2"/>
    <w:rsid w:val="33F97BC3"/>
    <w:rsid w:val="34506A44"/>
    <w:rsid w:val="34C74165"/>
    <w:rsid w:val="355F7EFA"/>
    <w:rsid w:val="365C49CB"/>
    <w:rsid w:val="36C83A63"/>
    <w:rsid w:val="374E69B0"/>
    <w:rsid w:val="375A306E"/>
    <w:rsid w:val="378211A5"/>
    <w:rsid w:val="378A5B0E"/>
    <w:rsid w:val="38037E5A"/>
    <w:rsid w:val="380700D4"/>
    <w:rsid w:val="38291C55"/>
    <w:rsid w:val="3838181B"/>
    <w:rsid w:val="3860144A"/>
    <w:rsid w:val="38AD6266"/>
    <w:rsid w:val="38C60291"/>
    <w:rsid w:val="39317DFF"/>
    <w:rsid w:val="3951684D"/>
    <w:rsid w:val="396106E4"/>
    <w:rsid w:val="39B60304"/>
    <w:rsid w:val="3AC568A1"/>
    <w:rsid w:val="3ACA050B"/>
    <w:rsid w:val="3BDD601C"/>
    <w:rsid w:val="3C08753D"/>
    <w:rsid w:val="3CC354EE"/>
    <w:rsid w:val="3D89020A"/>
    <w:rsid w:val="3D9372DA"/>
    <w:rsid w:val="3DB741C7"/>
    <w:rsid w:val="3E3F47A6"/>
    <w:rsid w:val="3ECA7D3F"/>
    <w:rsid w:val="3EED420A"/>
    <w:rsid w:val="3FA90ACB"/>
    <w:rsid w:val="3FF027C2"/>
    <w:rsid w:val="404E1192"/>
    <w:rsid w:val="40646D0C"/>
    <w:rsid w:val="40692574"/>
    <w:rsid w:val="40D55514"/>
    <w:rsid w:val="40DC2D46"/>
    <w:rsid w:val="40F549F7"/>
    <w:rsid w:val="410202BD"/>
    <w:rsid w:val="414B3510"/>
    <w:rsid w:val="423821FE"/>
    <w:rsid w:val="42DC527F"/>
    <w:rsid w:val="43301127"/>
    <w:rsid w:val="43C20D21"/>
    <w:rsid w:val="43CA332A"/>
    <w:rsid w:val="43D16E40"/>
    <w:rsid w:val="448259B3"/>
    <w:rsid w:val="44FA6CCA"/>
    <w:rsid w:val="4504461A"/>
    <w:rsid w:val="451531B5"/>
    <w:rsid w:val="45230F44"/>
    <w:rsid w:val="452F78E8"/>
    <w:rsid w:val="45DB1A12"/>
    <w:rsid w:val="464F2154"/>
    <w:rsid w:val="46715CDF"/>
    <w:rsid w:val="46B8390E"/>
    <w:rsid w:val="476C2551"/>
    <w:rsid w:val="47DE73A4"/>
    <w:rsid w:val="47F35500"/>
    <w:rsid w:val="485E04E5"/>
    <w:rsid w:val="485F6737"/>
    <w:rsid w:val="487B178B"/>
    <w:rsid w:val="48AE4FC8"/>
    <w:rsid w:val="48B63E7D"/>
    <w:rsid w:val="48DC521B"/>
    <w:rsid w:val="48F84495"/>
    <w:rsid w:val="493C25D4"/>
    <w:rsid w:val="499A379E"/>
    <w:rsid w:val="49DB33E8"/>
    <w:rsid w:val="4A264ABA"/>
    <w:rsid w:val="4B196BF9"/>
    <w:rsid w:val="4B7B5326"/>
    <w:rsid w:val="4C0013B8"/>
    <w:rsid w:val="4C357C73"/>
    <w:rsid w:val="4C783C43"/>
    <w:rsid w:val="4D117C43"/>
    <w:rsid w:val="4D2F5B84"/>
    <w:rsid w:val="4D3B54F3"/>
    <w:rsid w:val="4D44220B"/>
    <w:rsid w:val="4D4C4DB0"/>
    <w:rsid w:val="4DA80305"/>
    <w:rsid w:val="4E2A684F"/>
    <w:rsid w:val="4E38454F"/>
    <w:rsid w:val="4E481A1B"/>
    <w:rsid w:val="4E5456AD"/>
    <w:rsid w:val="4E90542A"/>
    <w:rsid w:val="4E9B7D9D"/>
    <w:rsid w:val="4EB87862"/>
    <w:rsid w:val="4F0E1F8A"/>
    <w:rsid w:val="4F2265E3"/>
    <w:rsid w:val="4F35568B"/>
    <w:rsid w:val="4F361072"/>
    <w:rsid w:val="4F5F0DCA"/>
    <w:rsid w:val="4F7C7BCE"/>
    <w:rsid w:val="4F8C3B89"/>
    <w:rsid w:val="4FA23309"/>
    <w:rsid w:val="501E2A33"/>
    <w:rsid w:val="504D3381"/>
    <w:rsid w:val="50DD469C"/>
    <w:rsid w:val="51065298"/>
    <w:rsid w:val="51112598"/>
    <w:rsid w:val="514079F2"/>
    <w:rsid w:val="51E25CE3"/>
    <w:rsid w:val="51F067FF"/>
    <w:rsid w:val="51FA2E37"/>
    <w:rsid w:val="525070F0"/>
    <w:rsid w:val="52A8453E"/>
    <w:rsid w:val="52B4767F"/>
    <w:rsid w:val="533F6A4C"/>
    <w:rsid w:val="539D0113"/>
    <w:rsid w:val="53CC27A6"/>
    <w:rsid w:val="545317BB"/>
    <w:rsid w:val="54710C43"/>
    <w:rsid w:val="54E31887"/>
    <w:rsid w:val="550541C2"/>
    <w:rsid w:val="551E2E50"/>
    <w:rsid w:val="55241A34"/>
    <w:rsid w:val="55AD3E7A"/>
    <w:rsid w:val="55F024A5"/>
    <w:rsid w:val="56717635"/>
    <w:rsid w:val="569C19C2"/>
    <w:rsid w:val="56B215F3"/>
    <w:rsid w:val="56F014EE"/>
    <w:rsid w:val="575B456D"/>
    <w:rsid w:val="577869B3"/>
    <w:rsid w:val="58FD3402"/>
    <w:rsid w:val="59745DBA"/>
    <w:rsid w:val="59981AA8"/>
    <w:rsid w:val="599B3347"/>
    <w:rsid w:val="59B51B1C"/>
    <w:rsid w:val="59C04B5B"/>
    <w:rsid w:val="59D6437F"/>
    <w:rsid w:val="5ADE798F"/>
    <w:rsid w:val="5B4672E2"/>
    <w:rsid w:val="5C3E620B"/>
    <w:rsid w:val="5C514191"/>
    <w:rsid w:val="5C8A7944"/>
    <w:rsid w:val="5C9255E4"/>
    <w:rsid w:val="5CAE05F8"/>
    <w:rsid w:val="5CC54506"/>
    <w:rsid w:val="5CEE5E83"/>
    <w:rsid w:val="5D107BA8"/>
    <w:rsid w:val="5D1E0517"/>
    <w:rsid w:val="5D2850E5"/>
    <w:rsid w:val="5D617A99"/>
    <w:rsid w:val="5D9A3915"/>
    <w:rsid w:val="5DC05595"/>
    <w:rsid w:val="5DC3772A"/>
    <w:rsid w:val="5DF179D9"/>
    <w:rsid w:val="5E006433"/>
    <w:rsid w:val="5E6D224E"/>
    <w:rsid w:val="5EF24309"/>
    <w:rsid w:val="5F304531"/>
    <w:rsid w:val="60C70EC5"/>
    <w:rsid w:val="612D013D"/>
    <w:rsid w:val="614E09AF"/>
    <w:rsid w:val="61781F06"/>
    <w:rsid w:val="61EF3C1A"/>
    <w:rsid w:val="623C4AC4"/>
    <w:rsid w:val="62483940"/>
    <w:rsid w:val="624A590A"/>
    <w:rsid w:val="625E13B5"/>
    <w:rsid w:val="62814C8E"/>
    <w:rsid w:val="63AA238E"/>
    <w:rsid w:val="63E42ACD"/>
    <w:rsid w:val="63E541F4"/>
    <w:rsid w:val="642D7291"/>
    <w:rsid w:val="647B4A42"/>
    <w:rsid w:val="647E0BAA"/>
    <w:rsid w:val="64867B99"/>
    <w:rsid w:val="649966D5"/>
    <w:rsid w:val="650D4D02"/>
    <w:rsid w:val="6612673F"/>
    <w:rsid w:val="664B39FF"/>
    <w:rsid w:val="6686008C"/>
    <w:rsid w:val="66882EA5"/>
    <w:rsid w:val="66E77BCB"/>
    <w:rsid w:val="66F875CA"/>
    <w:rsid w:val="67193AFD"/>
    <w:rsid w:val="673F21F8"/>
    <w:rsid w:val="675418E4"/>
    <w:rsid w:val="67CE2B39"/>
    <w:rsid w:val="67E20393"/>
    <w:rsid w:val="683F3A37"/>
    <w:rsid w:val="68756BE6"/>
    <w:rsid w:val="692544AC"/>
    <w:rsid w:val="69770C2A"/>
    <w:rsid w:val="69CB37D4"/>
    <w:rsid w:val="69D81A4D"/>
    <w:rsid w:val="6A6D03E7"/>
    <w:rsid w:val="6A726F41"/>
    <w:rsid w:val="6ABC1FE6"/>
    <w:rsid w:val="6B162E05"/>
    <w:rsid w:val="6BD0495B"/>
    <w:rsid w:val="6BD821D8"/>
    <w:rsid w:val="6BDF3567"/>
    <w:rsid w:val="6C1D1826"/>
    <w:rsid w:val="6C9A123C"/>
    <w:rsid w:val="6C9D28A7"/>
    <w:rsid w:val="6CEB1A97"/>
    <w:rsid w:val="6D3D187A"/>
    <w:rsid w:val="6D400035"/>
    <w:rsid w:val="6E4C47B8"/>
    <w:rsid w:val="6ECE1671"/>
    <w:rsid w:val="6F12155D"/>
    <w:rsid w:val="6F173018"/>
    <w:rsid w:val="6F1E7E0E"/>
    <w:rsid w:val="6F2562BF"/>
    <w:rsid w:val="6F775F24"/>
    <w:rsid w:val="6FAA5C3A"/>
    <w:rsid w:val="70117A67"/>
    <w:rsid w:val="705838E8"/>
    <w:rsid w:val="705F171E"/>
    <w:rsid w:val="70910BA8"/>
    <w:rsid w:val="70952446"/>
    <w:rsid w:val="713878EC"/>
    <w:rsid w:val="71B7100B"/>
    <w:rsid w:val="71C21E2A"/>
    <w:rsid w:val="722E4900"/>
    <w:rsid w:val="727B72D2"/>
    <w:rsid w:val="72AC3B1C"/>
    <w:rsid w:val="72C9287B"/>
    <w:rsid w:val="73716AA5"/>
    <w:rsid w:val="73BC5F3C"/>
    <w:rsid w:val="73CD1EF7"/>
    <w:rsid w:val="74D55507"/>
    <w:rsid w:val="74EB3CA8"/>
    <w:rsid w:val="755F74C6"/>
    <w:rsid w:val="761924FD"/>
    <w:rsid w:val="7642029A"/>
    <w:rsid w:val="76733229"/>
    <w:rsid w:val="768D3BBF"/>
    <w:rsid w:val="77571C13"/>
    <w:rsid w:val="77752FD1"/>
    <w:rsid w:val="783B1B25"/>
    <w:rsid w:val="786346E0"/>
    <w:rsid w:val="7AAD2B01"/>
    <w:rsid w:val="7AF10BC1"/>
    <w:rsid w:val="7B046B46"/>
    <w:rsid w:val="7B203254"/>
    <w:rsid w:val="7BD54A1F"/>
    <w:rsid w:val="7C0262E2"/>
    <w:rsid w:val="7C417926"/>
    <w:rsid w:val="7C765821"/>
    <w:rsid w:val="7C7E51E8"/>
    <w:rsid w:val="7C8810B1"/>
    <w:rsid w:val="7D0A5F6A"/>
    <w:rsid w:val="7D311748"/>
    <w:rsid w:val="7D586784"/>
    <w:rsid w:val="7DA61899"/>
    <w:rsid w:val="7DBB7604"/>
    <w:rsid w:val="7DE62533"/>
    <w:rsid w:val="7DE642E1"/>
    <w:rsid w:val="7E132BFC"/>
    <w:rsid w:val="7E3B7FEE"/>
    <w:rsid w:val="7E8D0C00"/>
    <w:rsid w:val="7E925766"/>
    <w:rsid w:val="7E980C67"/>
    <w:rsid w:val="7EC37819"/>
    <w:rsid w:val="7F01514B"/>
    <w:rsid w:val="7F333489"/>
    <w:rsid w:val="7F576C64"/>
    <w:rsid w:val="7F5E434B"/>
    <w:rsid w:val="7F857B2A"/>
    <w:rsid w:val="7FC93E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kern w:val="2"/>
      <w:sz w:val="21"/>
      <w:szCs w:val="24"/>
      <w:lang w:val="en-US" w:eastAsia="zh-CN" w:bidi="ar-SA"/>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5">
    <w:name w:val="Default Paragraph Font"/>
    <w:semiHidden/>
    <w:qFormat/>
    <w:uiPriority w:val="0"/>
  </w:style>
  <w:style w:type="table" w:default="1" w:styleId="13">
    <w:name w:val="Normal Table"/>
    <w:semiHidden/>
    <w:qFormat/>
    <w:uiPriority w:val="0"/>
    <w:tblPr>
      <w:tblStyle w:val="13"/>
      <w:tblCellMar>
        <w:top w:w="0" w:type="dxa"/>
        <w:left w:w="108" w:type="dxa"/>
        <w:bottom w:w="0" w:type="dxa"/>
        <w:right w:w="108" w:type="dxa"/>
      </w:tblCellMar>
    </w:tblPr>
  </w:style>
  <w:style w:type="paragraph" w:styleId="2">
    <w:name w:val="Body Text"/>
    <w:basedOn w:val="1"/>
    <w:next w:val="3"/>
    <w:qFormat/>
    <w:uiPriority w:val="1"/>
    <w:pPr>
      <w:widowControl/>
      <w:spacing w:line="384" w:lineRule="exact"/>
      <w:ind w:right="-364" w:rightChars="-364"/>
    </w:pPr>
    <w:rPr>
      <w:rFonts w:ascii="宋体" w:hAnsi="宋体" w:eastAsia="宋体" w:cs="宋体"/>
      <w:szCs w:val="21"/>
      <w:lang w:val="ca-ES" w:eastAsia="ca-ES" w:bidi="ca-ES"/>
    </w:rPr>
  </w:style>
  <w:style w:type="paragraph" w:styleId="3">
    <w:name w:val="Title"/>
    <w:basedOn w:val="1"/>
    <w:next w:val="1"/>
    <w:qFormat/>
    <w:uiPriority w:val="10"/>
    <w:pPr>
      <w:ind w:firstLine="0" w:firstLineChars="0"/>
      <w:contextualSpacing/>
      <w:jc w:val="center"/>
    </w:pPr>
    <w:rPr>
      <w:rFonts w:ascii="Cambria" w:hAnsi="Cambria" w:eastAsia="宋体"/>
      <w:b/>
      <w:spacing w:val="5"/>
      <w:sz w:val="32"/>
      <w:szCs w:val="52"/>
    </w:rPr>
  </w:style>
  <w:style w:type="paragraph" w:styleId="5">
    <w:name w:val="annotation text"/>
    <w:basedOn w:val="1"/>
    <w:qFormat/>
    <w:uiPriority w:val="0"/>
    <w:pPr>
      <w:jc w:val="left"/>
    </w:pPr>
  </w:style>
  <w:style w:type="paragraph" w:styleId="6">
    <w:name w:val="Body Text 3"/>
    <w:basedOn w:val="1"/>
    <w:uiPriority w:val="0"/>
    <w:pPr>
      <w:spacing w:after="120" w:afterLines="0" w:afterAutospacing="0"/>
    </w:pPr>
    <w:rPr>
      <w:sz w:val="16"/>
    </w:rPr>
  </w:style>
  <w:style w:type="paragraph" w:styleId="7">
    <w:name w:val="toc 3"/>
    <w:basedOn w:val="1"/>
    <w:next w:val="1"/>
    <w:qFormat/>
    <w:uiPriority w:val="0"/>
    <w:pPr>
      <w:ind w:left="840" w:leftChars="400"/>
    </w:pPr>
  </w:style>
  <w:style w:type="paragraph" w:styleId="8">
    <w:name w:val="footer"/>
    <w:basedOn w:val="1"/>
    <w:qFormat/>
    <w:uiPriority w:val="0"/>
    <w:pPr>
      <w:snapToGrid w:val="0"/>
      <w:ind w:right="210" w:rightChars="100"/>
      <w:jc w:val="righ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semiHidden/>
    <w:qFormat/>
    <w:uiPriority w:val="0"/>
    <w:pPr>
      <w:tabs>
        <w:tab w:val="right" w:leader="dot" w:pos="9242"/>
      </w:tabs>
      <w:spacing w:beforeLines="25" w:afterLines="25"/>
      <w:jc w:val="left"/>
    </w:pPr>
    <w:rPr>
      <w:rFonts w:ascii="宋体"/>
      <w:szCs w:val="21"/>
    </w:rPr>
  </w:style>
  <w:style w:type="paragraph" w:styleId="11">
    <w:name w:val="toc 4"/>
    <w:basedOn w:val="1"/>
    <w:next w:val="1"/>
    <w:qFormat/>
    <w:uiPriority w:val="0"/>
    <w:pPr>
      <w:ind w:left="1260" w:leftChars="600"/>
    </w:pPr>
  </w:style>
  <w:style w:type="paragraph" w:styleId="12">
    <w:name w:val="toc 2"/>
    <w:basedOn w:val="10"/>
    <w:next w:val="1"/>
    <w:semiHidden/>
    <w:qFormat/>
    <w:uiPriority w:val="0"/>
    <w:rPr>
      <w:rFonts w:ascii="宋体"/>
      <w:szCs w:val="21"/>
    </w:rPr>
  </w:style>
  <w:style w:type="table" w:styleId="14">
    <w:name w:val="Table Grid"/>
    <w:basedOn w:val="13"/>
    <w:qFormat/>
    <w:uiPriority w:val="0"/>
    <w:pPr>
      <w:widowControl w:val="0"/>
      <w:jc w:val="both"/>
    </w:pPr>
    <w:tblPr>
      <w:tblStyle w:val="1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章标题"/>
    <w:next w:val="17"/>
    <w:qFormat/>
    <w:uiPriority w:val="0"/>
    <w:pPr>
      <w:numPr>
        <w:ilvl w:val="0"/>
        <w:numId w:val="1"/>
      </w:numPr>
      <w:spacing w:before="100" w:beforeLines="100" w:after="100" w:afterLines="100"/>
      <w:jc w:val="both"/>
      <w:outlineLvl w:val="1"/>
    </w:pPr>
    <w:rPr>
      <w:rFonts w:ascii="黑体" w:hAnsi="黑体" w:eastAsia="黑体" w:cs="Times New Roman"/>
      <w:sz w:val="21"/>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18">
    <w:name w:val="一级条标题"/>
    <w:next w:val="17"/>
    <w:link w:val="19"/>
    <w:qFormat/>
    <w:uiPriority w:val="0"/>
    <w:pPr>
      <w:numPr>
        <w:ilvl w:val="1"/>
        <w:numId w:val="1"/>
      </w:numPr>
      <w:spacing w:before="50" w:beforeLines="50" w:after="50" w:afterLines="50"/>
      <w:outlineLvl w:val="2"/>
    </w:pPr>
    <w:rPr>
      <w:rFonts w:ascii="黑体" w:hAnsi="黑体" w:eastAsia="黑体" w:cs="Times New Roman"/>
      <w:sz w:val="21"/>
      <w:szCs w:val="21"/>
      <w:lang w:val="en-US" w:eastAsia="zh-CN" w:bidi="ar-SA"/>
    </w:rPr>
  </w:style>
  <w:style w:type="character" w:customStyle="1" w:styleId="19">
    <w:name w:val="一级条标题 Char"/>
    <w:link w:val="18"/>
    <w:uiPriority w:val="0"/>
    <w:rPr>
      <w:rFonts w:ascii="黑体" w:hAnsi="黑体" w:eastAsia="黑体" w:cs="Times New Roman"/>
      <w:sz w:val="21"/>
      <w:szCs w:val="21"/>
      <w:lang w:val="en-US" w:eastAsia="zh-CN" w:bidi="ar-SA"/>
    </w:rPr>
  </w:style>
  <w:style w:type="paragraph" w:customStyle="1" w:styleId="20">
    <w:name w:val="二级条标题"/>
    <w:basedOn w:val="18"/>
    <w:next w:val="17"/>
    <w:qFormat/>
    <w:uiPriority w:val="0"/>
    <w:pPr>
      <w:numPr>
        <w:ilvl w:val="2"/>
      </w:numPr>
      <w:tabs>
        <w:tab w:val="left" w:pos="0"/>
      </w:tabs>
      <w:spacing w:before="50" w:after="50"/>
      <w:ind w:left="0" w:firstLine="0"/>
      <w:outlineLvl w:val="3"/>
    </w:pPr>
    <w:rPr>
      <w:rFonts w:ascii="黑体" w:hAnsi="黑体" w:eastAsia="黑体"/>
      <w:sz w:val="21"/>
      <w:szCs w:val="21"/>
      <w:lang w:val="en-US" w:eastAsia="zh-CN" w:bidi="ar-SA"/>
    </w:rPr>
  </w:style>
  <w:style w:type="paragraph" w:customStyle="1" w:styleId="21">
    <w:name w:val="三级条标题"/>
    <w:basedOn w:val="20"/>
    <w:next w:val="17"/>
    <w:qFormat/>
    <w:uiPriority w:val="0"/>
    <w:pPr>
      <w:numPr>
        <w:ilvl w:val="3"/>
      </w:numPr>
      <w:ind w:left="0"/>
      <w:outlineLvl w:val="4"/>
    </w:pPr>
    <w:rPr>
      <w:rFonts w:ascii="黑体" w:hAnsi="黑体" w:eastAsia="黑体"/>
      <w:sz w:val="21"/>
      <w:szCs w:val="21"/>
      <w:lang w:val="en-US" w:eastAsia="zh-CN" w:bidi="ar-SA"/>
    </w:rPr>
  </w:style>
  <w:style w:type="paragraph" w:customStyle="1" w:styleId="2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3">
    <w:name w:val="其他标准标志"/>
    <w:basedOn w:val="24"/>
    <w:qFormat/>
    <w:uiPriority w:val="0"/>
    <w:pPr>
      <w:framePr w:w="6101" w:vAnchor="page" w:hAnchor="page" w:x="4673" w:y="942"/>
    </w:pPr>
    <w:rPr>
      <w:w w:val="130"/>
    </w:rPr>
  </w:style>
  <w:style w:type="paragraph" w:customStyle="1" w:styleId="2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5">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6">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27">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2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29">
    <w:name w:val="封面标准英文名称"/>
    <w:basedOn w:val="28"/>
    <w:qFormat/>
    <w:uiPriority w:val="0"/>
    <w:pPr>
      <w:spacing w:before="370" w:line="400" w:lineRule="exact"/>
    </w:pPr>
    <w:rPr>
      <w:rFonts w:ascii="Times New Roman"/>
      <w:sz w:val="28"/>
      <w:szCs w:val="28"/>
    </w:rPr>
  </w:style>
  <w:style w:type="paragraph" w:customStyle="1" w:styleId="30">
    <w:name w:val="封面一致性程度标识"/>
    <w:basedOn w:val="29"/>
    <w:qFormat/>
    <w:uiPriority w:val="0"/>
    <w:pPr>
      <w:spacing w:before="440"/>
    </w:pPr>
    <w:rPr>
      <w:rFonts w:ascii="宋体" w:eastAsia="宋体"/>
    </w:rPr>
  </w:style>
  <w:style w:type="paragraph" w:customStyle="1" w:styleId="31">
    <w:name w:val="封面标准文稿类别"/>
    <w:basedOn w:val="30"/>
    <w:qFormat/>
    <w:uiPriority w:val="0"/>
    <w:pPr>
      <w:spacing w:after="160" w:line="240" w:lineRule="auto"/>
    </w:pPr>
    <w:rPr>
      <w:sz w:val="24"/>
    </w:rPr>
  </w:style>
  <w:style w:type="paragraph" w:customStyle="1" w:styleId="32">
    <w:name w:val="封面标准文稿编辑信息"/>
    <w:basedOn w:val="31"/>
    <w:qFormat/>
    <w:uiPriority w:val="0"/>
    <w:pPr>
      <w:spacing w:before="180" w:line="180" w:lineRule="exact"/>
    </w:pPr>
    <w:rPr>
      <w:sz w:val="21"/>
    </w:rPr>
  </w:style>
  <w:style w:type="paragraph" w:customStyle="1" w:styleId="33">
    <w:name w:val="其他发布日期"/>
    <w:basedOn w:val="34"/>
    <w:qFormat/>
    <w:uiPriority w:val="0"/>
    <w:pPr>
      <w:framePr w:vAnchor="page" w:hAnchor="text" w:x="1419"/>
    </w:pPr>
  </w:style>
  <w:style w:type="paragraph" w:customStyle="1" w:styleId="34">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35">
    <w:name w:val="其他实施日期"/>
    <w:basedOn w:val="36"/>
    <w:qFormat/>
    <w:uiPriority w:val="0"/>
  </w:style>
  <w:style w:type="paragraph" w:customStyle="1" w:styleId="36">
    <w:name w:val="实施日期"/>
    <w:basedOn w:val="34"/>
    <w:qFormat/>
    <w:uiPriority w:val="0"/>
    <w:pPr>
      <w:framePr w:vAnchor="page" w:hAnchor="text"/>
      <w:jc w:val="right"/>
    </w:pPr>
  </w:style>
  <w:style w:type="paragraph" w:customStyle="1" w:styleId="37">
    <w:name w:val="其他发布部门"/>
    <w:basedOn w:val="38"/>
    <w:qFormat/>
    <w:uiPriority w:val="0"/>
    <w:pPr>
      <w:framePr w:y="15310"/>
      <w:spacing w:line="0" w:lineRule="atLeast"/>
    </w:pPr>
    <w:rPr>
      <w:rFonts w:ascii="黑体" w:eastAsia="黑体"/>
      <w:b w:val="0"/>
    </w:rPr>
  </w:style>
  <w:style w:type="paragraph" w:customStyle="1" w:styleId="38">
    <w:name w:val="发布部门"/>
    <w:next w:val="17"/>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39">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40">
    <w:name w:val="标准书眉_偶数页"/>
    <w:basedOn w:val="39"/>
    <w:next w:val="1"/>
    <w:qFormat/>
    <w:uiPriority w:val="0"/>
    <w:pPr>
      <w:jc w:val="left"/>
    </w:pPr>
  </w:style>
  <w:style w:type="paragraph" w:customStyle="1" w:styleId="41">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42">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43">
    <w:name w:val="参考文献"/>
    <w:basedOn w:val="1"/>
    <w:next w:val="1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44">
    <w:name w:val="终结线"/>
    <w:basedOn w:val="1"/>
    <w:qFormat/>
    <w:uiPriority w:val="0"/>
    <w:pPr>
      <w:framePr w:hSpace="181" w:vSpace="181" w:wrap="around" w:vAnchor="text" w:hAnchor="margin" w:xAlign="center" w:y="285"/>
    </w:pPr>
  </w:style>
  <w:style w:type="paragraph" w:customStyle="1" w:styleId="45">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46">
    <w:name w:val="一级附录"/>
    <w:basedOn w:val="1"/>
    <w:link w:val="47"/>
    <w:qFormat/>
    <w:uiPriority w:val="0"/>
    <w:pPr>
      <w:numPr>
        <w:ilvl w:val="0"/>
        <w:numId w:val="3"/>
      </w:numPr>
      <w:ind w:left="432" w:hanging="432"/>
      <w:jc w:val="center"/>
    </w:pPr>
    <w:rPr>
      <w:rFonts w:ascii="Calibri" w:hAnsi="Calibri" w:eastAsia="黑体"/>
      <w:color w:val="000000"/>
    </w:rPr>
  </w:style>
  <w:style w:type="character" w:customStyle="1" w:styleId="47">
    <w:name w:val="一级附录 Char"/>
    <w:link w:val="46"/>
    <w:uiPriority w:val="0"/>
    <w:rPr>
      <w:rFonts w:ascii="Calibri" w:hAnsi="Calibri" w:eastAsia="黑体"/>
      <w:color w:val="000000"/>
    </w:rPr>
  </w:style>
  <w:style w:type="paragraph" w:customStyle="1" w:styleId="48">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49">
    <w:name w:val="二级附录"/>
    <w:basedOn w:val="6"/>
    <w:uiPriority w:val="0"/>
    <w:pPr>
      <w:numPr>
        <w:ilvl w:val="1"/>
        <w:numId w:val="4"/>
      </w:numPr>
      <w:ind w:left="575" w:hanging="575"/>
    </w:pPr>
    <w:rPr>
      <w:rFonts w:hint="default" w:ascii="黑体" w:hAnsi="黑体"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4887</Words>
  <Characters>5288</Characters>
  <Lines>0</Lines>
  <Paragraphs>0</Paragraphs>
  <TotalTime>7</TotalTime>
  <ScaleCrop>false</ScaleCrop>
  <LinksUpToDate>false</LinksUpToDate>
  <CharactersWithSpaces>5400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2022-11-01T00:39:00Z</dcterms:created>
  <dc:creator>TOSHIBA</dc:creator>
  <cp:lastModifiedBy>王美琦</cp:lastModifiedBy>
  <dcterms:modified xsi:type="dcterms:W3CDTF">2025-03-30T09:26:57Z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AFFA2ED1D1A04C718B777EE9E6CB7670_13</vt:lpwstr>
  </property>
  <property fmtid="{D5CDD505-2E9C-101B-9397-08002B2CF9AE}" pid="4" name="KSOTemplateDocerSaveRecord">
    <vt:lpwstr>eyJoZGlkIjoiMjZlNTNjMWZiNmQ3Yzg0NDkzMjVhNTM5OTZjMWJmYTgiLCJ1c2VySWQiOiIzNDA5NzkzNTEifQ==</vt:lpwstr>
  </property>
</Properties>
</file>